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86C9E" w14:textId="341666B9" w:rsidR="00740D32" w:rsidRDefault="007C59A8" w:rsidP="00740D32">
      <w:pPr>
        <w:jc w:val="both"/>
      </w:pPr>
      <w:r>
        <w:t>Quesito: Premesso</w:t>
      </w:r>
      <w:r w:rsidR="00740D32">
        <w:t xml:space="preserve"> che, a seguito di precedente quesito, risulta chiaro che un veicolo reclamizzato possa beneficiare di esenzione nel caso in cui sul medesimo vi siano solamente le indicazioni del marchio, della ditta, della ragione sociale e dell’indirizzo, ci sorge un dubbio in merito all'automezzo di un ambulante.</w:t>
      </w:r>
      <w:r w:rsidR="00740D32">
        <w:br/>
        <w:t>Trattasi di veicolo che durante la sosta estende tende e apre pannelli ampiamente reclamizzati e superiori, complessivamente, a metri quadrati cinque. Il CUP è dovuto in base alla portata del mezzo oppure in base alla superficie delle scritte?</w:t>
      </w:r>
    </w:p>
    <w:p w14:paraId="0F488F03" w14:textId="3A9C4B1F" w:rsidR="00C10C85" w:rsidRDefault="00C10C85" w:rsidP="00740D32">
      <w:pPr>
        <w:jc w:val="both"/>
      </w:pPr>
      <w:r>
        <w:t>RISPOSTA</w:t>
      </w:r>
    </w:p>
    <w:p w14:paraId="17F586FF" w14:textId="04ABF9A4" w:rsidR="00532914" w:rsidRDefault="00C10C85" w:rsidP="00740D32">
      <w:pPr>
        <w:jc w:val="both"/>
      </w:pPr>
      <w:r>
        <w:t xml:space="preserve">Il quesito affronta un tema particolare che coinvolge molte situazioni a cui quotidianamente assistiamo </w:t>
      </w:r>
      <w:r w:rsidR="004D0576">
        <w:t>in quasi tutti i</w:t>
      </w:r>
      <w:r>
        <w:t xml:space="preserve"> centri urbani dei Comuni del nostro Paese, dove vengono realizzati mercati e fiere su suolo pubblico. </w:t>
      </w:r>
    </w:p>
    <w:p w14:paraId="700C98C6" w14:textId="1DB3C522" w:rsidR="00740D32" w:rsidRDefault="00C10C85" w:rsidP="00740D32">
      <w:pPr>
        <w:jc w:val="both"/>
      </w:pPr>
      <w:r>
        <w:t xml:space="preserve">Nelle strade occupate dagli operatori del commercio ambulante, vediamo </w:t>
      </w:r>
      <w:r w:rsidR="00C80DF3">
        <w:t xml:space="preserve">infatti </w:t>
      </w:r>
      <w:r>
        <w:t xml:space="preserve">la presenza di aree dedicate alla vendita e di automezzi posizionati immediatamente dietro banco </w:t>
      </w:r>
      <w:r w:rsidR="004D0576">
        <w:t>e utilizzati</w:t>
      </w:r>
      <w:r>
        <w:t xml:space="preserve"> </w:t>
      </w:r>
      <w:r w:rsidR="004D0576">
        <w:t xml:space="preserve">sia </w:t>
      </w:r>
      <w:r>
        <w:t>come magazzini in appoggio all’attività</w:t>
      </w:r>
      <w:r w:rsidR="004D0576">
        <w:t>, sia come strutture dedicate alla vendita dei prodotti</w:t>
      </w:r>
      <w:r>
        <w:t xml:space="preserve">. Molto spesso questi veicoli </w:t>
      </w:r>
      <w:r w:rsidR="00C80DF3">
        <w:t>vengono allestiti</w:t>
      </w:r>
      <w:r>
        <w:t xml:space="preserve"> </w:t>
      </w:r>
      <w:r w:rsidR="00C80DF3">
        <w:t>con</w:t>
      </w:r>
      <w:r>
        <w:t xml:space="preserve"> tende per consentire di riparare l’area di vendita da sole e intemperie</w:t>
      </w:r>
      <w:r w:rsidR="004D0576">
        <w:t xml:space="preserve"> e con strutture utili alla somministrazione di cibi e bevande</w:t>
      </w:r>
      <w:r>
        <w:t>.</w:t>
      </w:r>
    </w:p>
    <w:p w14:paraId="37B8A60B" w14:textId="072E5E38" w:rsidR="00C80DF3" w:rsidRDefault="00C10C85" w:rsidP="00740D32">
      <w:pPr>
        <w:jc w:val="both"/>
      </w:pPr>
      <w:r>
        <w:t xml:space="preserve">Questa situazione abitualmente viene attenzionata </w:t>
      </w:r>
      <w:r w:rsidR="008B53ED">
        <w:t xml:space="preserve">dagli uffici solo </w:t>
      </w:r>
      <w:r>
        <w:t xml:space="preserve">per quanto riguarda il </w:t>
      </w:r>
      <w:r w:rsidR="008B53ED">
        <w:t xml:space="preserve">corretto pagamento del </w:t>
      </w:r>
      <w:r>
        <w:t>Canone Mercatale</w:t>
      </w:r>
      <w:r w:rsidR="00E965B8">
        <w:t xml:space="preserve"> ex comma 837 Legge 160/2019</w:t>
      </w:r>
      <w:r>
        <w:t>, con</w:t>
      </w:r>
      <w:r w:rsidR="008B53ED">
        <w:t xml:space="preserve"> specifico</w:t>
      </w:r>
      <w:r>
        <w:t xml:space="preserve"> </w:t>
      </w:r>
      <w:r w:rsidR="00E965B8">
        <w:t>riguardo</w:t>
      </w:r>
      <w:r>
        <w:t xml:space="preserve"> alle porzioni di suolo pubblico </w:t>
      </w:r>
      <w:r w:rsidR="00C80DF3">
        <w:t xml:space="preserve">realmente </w:t>
      </w:r>
      <w:r>
        <w:t>sottratte alla disponibilità della collettività. Meno attenzione invece viene dedicata all</w:t>
      </w:r>
      <w:r w:rsidR="008B53ED">
        <w:t>a presenza di</w:t>
      </w:r>
      <w:r>
        <w:t xml:space="preserve"> diffusioni pubblicitarie realizzate nell’ambito </w:t>
      </w:r>
      <w:r w:rsidR="004D0576">
        <w:t>di queste attività, specie se itineranti</w:t>
      </w:r>
      <w:r w:rsidR="008B53ED">
        <w:t>, così ch</w:t>
      </w:r>
      <w:r>
        <w:t xml:space="preserve">e il quesito odierno </w:t>
      </w:r>
      <w:r w:rsidR="00C80DF3">
        <w:t>serve</w:t>
      </w:r>
      <w:r>
        <w:t xml:space="preserve"> </w:t>
      </w:r>
      <w:r w:rsidR="00C80DF3">
        <w:t xml:space="preserve">quindi </w:t>
      </w:r>
      <w:r>
        <w:t xml:space="preserve">come spunto di riflessione e invito al controllo </w:t>
      </w:r>
      <w:r w:rsidR="00E965B8">
        <w:t xml:space="preserve">anche </w:t>
      </w:r>
      <w:r>
        <w:t xml:space="preserve">di queste </w:t>
      </w:r>
      <w:r w:rsidR="004D0576">
        <w:t xml:space="preserve">particolari </w:t>
      </w:r>
      <w:r>
        <w:t>fattispecie rientranti nel Canone Unico ex comma 816 Legge 160/2019</w:t>
      </w:r>
      <w:r w:rsidR="00C80DF3">
        <w:t>.</w:t>
      </w:r>
    </w:p>
    <w:p w14:paraId="04576AF6" w14:textId="2887A0F1" w:rsidR="00C80DF3" w:rsidRDefault="008B53ED" w:rsidP="00740D32">
      <w:pPr>
        <w:jc w:val="both"/>
      </w:pPr>
      <w:r>
        <w:t xml:space="preserve">È corretto quanto scritto nel quesito, le indicazioni del marchio, della ditta, della ragione sociale e dell’indirizzo riportate sul veicolo garantiscono l’applicazione dell’esenzione prevista alla lettera N del comma 833, ma come devono essere valutate le diverse diffusioni pubblicitarie che vengono esposte </w:t>
      </w:r>
      <w:r w:rsidR="00274866">
        <w:t xml:space="preserve">solo </w:t>
      </w:r>
      <w:r>
        <w:t xml:space="preserve">quando questi veicoli </w:t>
      </w:r>
      <w:r w:rsidR="00274866">
        <w:t>vengono posizionati nelle aree di vendita e aprono strutture, tende e altro materiale pubblicitario? Rientrano nel presupposto applicativo? E dovranno essere considerate comunque pubblicità sui veicoli oppure dovremo trattarle alla stregua delle altre diffusioni realizzate nell’ambito di una attività commerciale? Potranno in questo caso godere delle esenzioni previste per le insegne d’esercizio?</w:t>
      </w:r>
    </w:p>
    <w:p w14:paraId="1BAA6C4F" w14:textId="65A23401" w:rsidR="00356F95" w:rsidRDefault="00274866" w:rsidP="00740D32">
      <w:pPr>
        <w:jc w:val="both"/>
      </w:pPr>
      <w:r>
        <w:t xml:space="preserve">Nel settore del commercio ambulante l’allestimento dei mezzi è sempre più diffuso e oggi circolano dei veicoli con strutture </w:t>
      </w:r>
      <w:r w:rsidR="00356F95">
        <w:t xml:space="preserve">e attrezzature sofisticate con esposte scritte e immagini pubblicitarie che fungono da richiamano verso il pubblico e migliorano l’immagine del prodotto venduto e del soggetto pubblicizzato. Basti pensare ai veicoli utilizzati per lo street food o in generale </w:t>
      </w:r>
      <w:r w:rsidR="004D0576">
        <w:t>a</w:t>
      </w:r>
      <w:r w:rsidR="00356F95">
        <w:t>gli automezzi utilizzati nel settore alimentare presenti in tutti i mercati e fiere del nostro Paese</w:t>
      </w:r>
      <w:r w:rsidR="004D0576">
        <w:t>, ma anche ai banchi classici di abbigliamento dove vengono posizionate tende, ombrelloni e altro materiale pubblicizzato.</w:t>
      </w:r>
    </w:p>
    <w:p w14:paraId="62E25885" w14:textId="6834691E" w:rsidR="00356F95" w:rsidRDefault="00356F95" w:rsidP="00740D32">
      <w:pPr>
        <w:jc w:val="both"/>
      </w:pPr>
      <w:r>
        <w:t xml:space="preserve">Premesso che le risposte agli interrogativi posti dovrebbero trovare spazio nella disciplina regolamentare, si può fornire la seguente interpretazione </w:t>
      </w:r>
      <w:r w:rsidR="004D0576">
        <w:t xml:space="preserve">di carattere generale da applicare anche al </w:t>
      </w:r>
      <w:r>
        <w:t xml:space="preserve">caso specifico: </w:t>
      </w:r>
    </w:p>
    <w:p w14:paraId="0EC2A757" w14:textId="3BD8207D" w:rsidR="00274866" w:rsidRDefault="00356F95" w:rsidP="00356F95">
      <w:pPr>
        <w:pStyle w:val="Paragrafoelenco"/>
        <w:numPr>
          <w:ilvl w:val="0"/>
          <w:numId w:val="1"/>
        </w:numPr>
        <w:jc w:val="both"/>
      </w:pPr>
      <w:r>
        <w:t xml:space="preserve">tutto ciò che è esposto sul veicolo </w:t>
      </w:r>
      <w:r w:rsidR="00274866">
        <w:t xml:space="preserve"> </w:t>
      </w:r>
      <w:r>
        <w:t>e visibile anche quando questo è in movimento, deve essere valutato come pubblicità su veicoli per conto proprio e come tale seguire le ipotesi di esenzione di cui alla lettera N del comma 833, o viceversa l’applicazione del canone in misura forfetario in base alla portata del veicolo stesso</w:t>
      </w:r>
      <w:r w:rsidR="004D0576">
        <w:t xml:space="preserve">, oppure in alternativa  </w:t>
      </w:r>
      <w:r>
        <w:t>in base alla reale superficie dei messaggi esposti (</w:t>
      </w:r>
      <w:r w:rsidR="00EF7739">
        <w:t xml:space="preserve">questo </w:t>
      </w:r>
      <w:r w:rsidR="004D0576">
        <w:t xml:space="preserve">dipende da quale scelta è stata fatta in sede di </w:t>
      </w:r>
      <w:r w:rsidR="00EF7739">
        <w:t xml:space="preserve">approvazione del </w:t>
      </w:r>
      <w:r w:rsidR="004D0576">
        <w:t>Regolamento comunale</w:t>
      </w:r>
      <w:r w:rsidR="00EF7739">
        <w:t xml:space="preserve">, ovvero se è stato scelto di </w:t>
      </w:r>
      <w:r>
        <w:t>ricalca</w:t>
      </w:r>
      <w:r w:rsidR="00EF7739">
        <w:t>re</w:t>
      </w:r>
      <w:r>
        <w:t xml:space="preserve"> quanto </w:t>
      </w:r>
      <w:r w:rsidR="00EF7739">
        <w:t xml:space="preserve">già </w:t>
      </w:r>
      <w:r>
        <w:t>previsto con il precedente prelievo ICP</w:t>
      </w:r>
      <w:r w:rsidR="00EF7739">
        <w:t xml:space="preserve"> oppure è stato scelto di adottare un diverso criterio basato sui mq</w:t>
      </w:r>
      <w:r>
        <w:t>)</w:t>
      </w:r>
    </w:p>
    <w:p w14:paraId="6F507F29" w14:textId="6D633117" w:rsidR="00A7632F" w:rsidRDefault="00356F95" w:rsidP="00356F95">
      <w:pPr>
        <w:pStyle w:val="Paragrafoelenco"/>
        <w:numPr>
          <w:ilvl w:val="0"/>
          <w:numId w:val="1"/>
        </w:numPr>
        <w:jc w:val="both"/>
      </w:pPr>
      <w:r>
        <w:t xml:space="preserve">tutto ciò che invece viene esposto solo quando il veicolo si trova nell’area assegnata per svolgere la sua attività di commercio ambulante, itinerante o con posteggio fisso, seguirà la disciplina </w:t>
      </w:r>
      <w:r w:rsidR="00A7632F">
        <w:t>ordinaria prevista</w:t>
      </w:r>
      <w:r>
        <w:t xml:space="preserve"> per la pubblicità </w:t>
      </w:r>
      <w:r w:rsidR="00A7632F">
        <w:t>esposte presso</w:t>
      </w:r>
      <w:r>
        <w:t xml:space="preserve"> le </w:t>
      </w:r>
      <w:r w:rsidR="00A7632F">
        <w:t xml:space="preserve">altre </w:t>
      </w:r>
      <w:r>
        <w:t>attività imprenditoriali realizzate in negozi, chioschi</w:t>
      </w:r>
      <w:r w:rsidR="00A7632F">
        <w:t xml:space="preserve"> e locali di tipo stabile. </w:t>
      </w:r>
    </w:p>
    <w:p w14:paraId="5A21CC1A" w14:textId="1D8FA454" w:rsidR="00A7632F" w:rsidRDefault="00A7632F" w:rsidP="00A7632F">
      <w:pPr>
        <w:jc w:val="both"/>
      </w:pPr>
      <w:r>
        <w:lastRenderedPageBreak/>
        <w:t>Questa lettura, condizionata chiaramente da una possibile diversa interpretazione demandata alla disciplina regolamentare, impone l’applicazione del Canone Unico in ragione dei mezzi esposti e visibili, la cui superficie sarà calcolata differentemente a seconda che la diffusione avvenga per il tramite di un mezzo pubblicitario o attraverso delle inserzioni in strutture diversamente utili all’attività. Ecco quindi ad esempio che le scritte sulle tende o le immagini sulle strutture, non trattandosi quest</w:t>
      </w:r>
      <w:r w:rsidR="0091033D">
        <w:t>e</w:t>
      </w:r>
      <w:r>
        <w:t xml:space="preserve"> di impianti pubblicitari, saranno calcolati in base alla minima figura geometrica piana che racchiude le diffusioni pubblicitarie. Diverso invece il caso di cartelli che vengono esposti, </w:t>
      </w:r>
      <w:r w:rsidR="0091033D">
        <w:t xml:space="preserve">nei pressi o </w:t>
      </w:r>
      <w:r>
        <w:t>direttamente sulla carrozzeria del veicolo, una volta che questo risulta parcheggiato e aperto per lo svolgimento dell’attività, in questo caso la misurazione avverrà considerando l’intero mezzo pubblicitario indipendentemente dal tipo e dal numero di scritte e messaggi in esso contenuti, così come disposto dal comma 825 della Legge 160/2009.</w:t>
      </w:r>
    </w:p>
    <w:p w14:paraId="4A2DBAA0" w14:textId="4F796327" w:rsidR="00A7632F" w:rsidRDefault="00A7632F" w:rsidP="00A7632F">
      <w:pPr>
        <w:jc w:val="both"/>
      </w:pPr>
      <w:r>
        <w:t xml:space="preserve">Nella valutazione, </w:t>
      </w:r>
      <w:r w:rsidR="0091033D">
        <w:t xml:space="preserve">a differenza di ciò che avviene </w:t>
      </w:r>
      <w:r w:rsidR="00EF7739">
        <w:t>per</w:t>
      </w:r>
      <w:r w:rsidR="0091033D">
        <w:t xml:space="preserve"> le </w:t>
      </w:r>
      <w:r>
        <w:t>altre attività commerciali,</w:t>
      </w:r>
      <w:r w:rsidR="0091033D">
        <w:t xml:space="preserve"> non</w:t>
      </w:r>
      <w:r>
        <w:t xml:space="preserve"> si dovrà distinguere tra messaggi reclamistici e insegne d’esercizio </w:t>
      </w:r>
      <w:r w:rsidR="0091033D">
        <w:t>in quanto i luog</w:t>
      </w:r>
      <w:r w:rsidR="00EF7739">
        <w:t>hi</w:t>
      </w:r>
      <w:r w:rsidR="0091033D">
        <w:t xml:space="preserve"> d’esercizio dove </w:t>
      </w:r>
      <w:r w:rsidR="00EF7739">
        <w:t>vengono</w:t>
      </w:r>
      <w:r w:rsidR="0091033D">
        <w:t xml:space="preserve"> svolt</w:t>
      </w:r>
      <w:r w:rsidR="00EF7739">
        <w:t>i</w:t>
      </w:r>
      <w:r w:rsidR="0091033D">
        <w:t xml:space="preserve"> i mercat</w:t>
      </w:r>
      <w:r w:rsidR="00EF7739">
        <w:t>i</w:t>
      </w:r>
      <w:r w:rsidR="0091033D">
        <w:t xml:space="preserve"> o l</w:t>
      </w:r>
      <w:r w:rsidR="00EF7739">
        <w:t>e</w:t>
      </w:r>
      <w:r w:rsidR="0091033D">
        <w:t xml:space="preserve"> fier</w:t>
      </w:r>
      <w:r w:rsidR="00EF7739">
        <w:t>e</w:t>
      </w:r>
      <w:r w:rsidR="0091033D">
        <w:t xml:space="preserve"> o i posteggi itinerant</w:t>
      </w:r>
      <w:r w:rsidR="00EF7739">
        <w:t>i,</w:t>
      </w:r>
      <w:r w:rsidR="0091033D">
        <w:t xml:space="preserve"> non si </w:t>
      </w:r>
      <w:r w:rsidR="00EF7739">
        <w:t>possono</w:t>
      </w:r>
      <w:r w:rsidR="0091033D">
        <w:t xml:space="preserve"> considerare sede o unità locale </w:t>
      </w:r>
      <w:r w:rsidR="00EF7739">
        <w:t xml:space="preserve">se non inseriti espressamente in </w:t>
      </w:r>
      <w:r w:rsidR="0091033D">
        <w:t xml:space="preserve"> visura CCIAA. Sul tema </w:t>
      </w:r>
      <w:r w:rsidR="00EF7739">
        <w:t>specifico s</w:t>
      </w:r>
      <w:r w:rsidR="0091033D">
        <w:t xml:space="preserve">i è espressa la giurisprudenza ritenendo inapplicabile l’esenzione sulle insegne d’esercizio per quelle </w:t>
      </w:r>
      <w:r w:rsidR="00EF7739">
        <w:t>ubicazioni</w:t>
      </w:r>
      <w:r w:rsidR="0091033D">
        <w:t xml:space="preserve"> dove non è espressamente </w:t>
      </w:r>
      <w:r w:rsidR="00EF7739">
        <w:t>registrata</w:t>
      </w:r>
      <w:r w:rsidR="0091033D">
        <w:t xml:space="preserve"> una unità locale dell’azienda.</w:t>
      </w:r>
    </w:p>
    <w:p w14:paraId="3226861D" w14:textId="30BB02FC" w:rsidR="00A7632F" w:rsidRDefault="00A7632F" w:rsidP="00A7632F">
      <w:pPr>
        <w:jc w:val="both"/>
      </w:pPr>
      <w:r>
        <w:t xml:space="preserve">Pertanto, </w:t>
      </w:r>
      <w:r w:rsidR="00292E6B">
        <w:t>tornando al quesito</w:t>
      </w:r>
      <w:r>
        <w:t xml:space="preserve">, quando il veicolo durante la sosta </w:t>
      </w:r>
      <w:r w:rsidR="0091033D">
        <w:t>apre</w:t>
      </w:r>
      <w:r>
        <w:t xml:space="preserve"> tende e pannelli reclamizzati</w:t>
      </w:r>
      <w:r w:rsidR="0091033D">
        <w:t xml:space="preserve">, </w:t>
      </w:r>
      <w:r>
        <w:t xml:space="preserve">Il CUP </w:t>
      </w:r>
      <w:r w:rsidR="00292E6B">
        <w:t xml:space="preserve">sarà </w:t>
      </w:r>
      <w:r w:rsidR="0091033D">
        <w:t xml:space="preserve">sempre </w:t>
      </w:r>
      <w:r>
        <w:t xml:space="preserve">dovuto in base alla superficie delle </w:t>
      </w:r>
      <w:r w:rsidR="00292E6B">
        <w:t xml:space="preserve">diffusioni pubblicitarie, </w:t>
      </w:r>
      <w:r w:rsidR="0091033D">
        <w:t>senza esclusioni</w:t>
      </w:r>
      <w:r w:rsidR="00292E6B">
        <w:t>.</w:t>
      </w:r>
    </w:p>
    <w:p w14:paraId="3415F837" w14:textId="456E7F18" w:rsidR="00292E6B" w:rsidRDefault="00292E6B" w:rsidP="00292E6B">
      <w:pPr>
        <w:jc w:val="both"/>
      </w:pPr>
      <w:r>
        <w:t xml:space="preserve">Una volta fissato questo criterio che meglio di altri rispetta i parametri voluti dal Legislatore nella formazione del presupposto applicativo di cui alla lettera B del comma 819, occorre valutare la tariffa da applicare. Da una parte, per tutto ciò che è visibile sul veicolo, anche quando circola per le strade, andrà applicata la tariffa ad anno solare, il cui importo base è fissato al comma 826 e il cui beneficiario sarà il </w:t>
      </w:r>
      <w:r w:rsidR="0091033D">
        <w:t>C</w:t>
      </w:r>
      <w:r>
        <w:t>omune in cui il proprietario del veicolo ha la residenza o la sede (comma 825)</w:t>
      </w:r>
      <w:r w:rsidR="0091033D">
        <w:t xml:space="preserve">, applicando </w:t>
      </w:r>
      <w:r w:rsidR="00EF7739">
        <w:t xml:space="preserve">di conseguenza </w:t>
      </w:r>
      <w:r w:rsidR="0091033D">
        <w:t>il criterio di calcolo del canone previsto nel regolamento (forfetario a portata veicolo o in base ai mq)</w:t>
      </w:r>
      <w:r w:rsidR="00532914">
        <w:t>, dall’altra, per tutto il restante materiale pubblicitario che sarà visibile solo durante l’attività di vendita</w:t>
      </w:r>
      <w:r w:rsidR="00EF7739">
        <w:t xml:space="preserve"> su suolo pubblico</w:t>
      </w:r>
      <w:r w:rsidR="00532914">
        <w:t xml:space="preserve"> quando vengono aperte tende e strutture, si applicherà la tariffa giornaliera a favore del Comune nel cui territorio viene svolta l’attività.</w:t>
      </w:r>
    </w:p>
    <w:p w14:paraId="63EF5382" w14:textId="0AF3E5D9" w:rsidR="00356F95" w:rsidRDefault="00356F95" w:rsidP="00A7632F">
      <w:pPr>
        <w:jc w:val="both"/>
      </w:pPr>
    </w:p>
    <w:p w14:paraId="1600BBC4" w14:textId="77777777" w:rsidR="00274866" w:rsidRDefault="00274866" w:rsidP="00740D32">
      <w:pPr>
        <w:jc w:val="both"/>
      </w:pPr>
    </w:p>
    <w:p w14:paraId="40820C93" w14:textId="1960F58B" w:rsidR="00C10C85" w:rsidRDefault="00C10C85" w:rsidP="00740D32">
      <w:pPr>
        <w:jc w:val="both"/>
      </w:pPr>
      <w:r>
        <w:t xml:space="preserve">  </w:t>
      </w:r>
    </w:p>
    <w:p w14:paraId="23E75151" w14:textId="77777777" w:rsidR="00C10C85" w:rsidRDefault="00C10C85" w:rsidP="00740D32">
      <w:pPr>
        <w:jc w:val="both"/>
      </w:pPr>
    </w:p>
    <w:p w14:paraId="1D5DF22A" w14:textId="2F70040E" w:rsidR="00060149" w:rsidRDefault="00740D32" w:rsidP="00740D32">
      <w:pPr>
        <w:jc w:val="both"/>
      </w:pPr>
      <w:r>
        <w:br/>
      </w:r>
      <w:r>
        <w:br/>
      </w:r>
    </w:p>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2B1A71"/>
    <w:multiLevelType w:val="hybridMultilevel"/>
    <w:tmpl w:val="B5A0452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9612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66"/>
    <w:rsid w:val="00060149"/>
    <w:rsid w:val="001B4243"/>
    <w:rsid w:val="001F3B66"/>
    <w:rsid w:val="00274866"/>
    <w:rsid w:val="00292E6B"/>
    <w:rsid w:val="00356F95"/>
    <w:rsid w:val="004D0576"/>
    <w:rsid w:val="00532914"/>
    <w:rsid w:val="00740D32"/>
    <w:rsid w:val="007C59A8"/>
    <w:rsid w:val="008B53ED"/>
    <w:rsid w:val="0091033D"/>
    <w:rsid w:val="00A7632F"/>
    <w:rsid w:val="00C10C85"/>
    <w:rsid w:val="00C80DF3"/>
    <w:rsid w:val="00E965B8"/>
    <w:rsid w:val="00EF7739"/>
    <w:rsid w:val="00FE58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FE55"/>
  <w15:chartTrackingRefBased/>
  <w15:docId w15:val="{0858087D-66E0-451A-BA4E-1EB0164F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356F95"/>
    <w:pPr>
      <w:ind w:left="720"/>
      <w:contextualSpacing/>
    </w:pPr>
  </w:style>
  <w:style w:type="character" w:styleId="Rimandocommento">
    <w:name w:val="annotation reference"/>
    <w:basedOn w:val="Carpredefinitoparagrafo"/>
    <w:uiPriority w:val="99"/>
    <w:semiHidden/>
    <w:unhideWhenUsed/>
    <w:rsid w:val="00EF7739"/>
    <w:rPr>
      <w:sz w:val="16"/>
      <w:szCs w:val="16"/>
    </w:rPr>
  </w:style>
  <w:style w:type="paragraph" w:styleId="Testocommento">
    <w:name w:val="annotation text"/>
    <w:basedOn w:val="Normale"/>
    <w:link w:val="TestocommentoCarattere"/>
    <w:uiPriority w:val="99"/>
    <w:semiHidden/>
    <w:unhideWhenUsed/>
    <w:rsid w:val="00EF773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EF7739"/>
    <w:rPr>
      <w:sz w:val="20"/>
      <w:szCs w:val="20"/>
    </w:rPr>
  </w:style>
  <w:style w:type="paragraph" w:styleId="Soggettocommento">
    <w:name w:val="annotation subject"/>
    <w:basedOn w:val="Testocommento"/>
    <w:next w:val="Testocommento"/>
    <w:link w:val="SoggettocommentoCarattere"/>
    <w:uiPriority w:val="99"/>
    <w:semiHidden/>
    <w:unhideWhenUsed/>
    <w:rsid w:val="00EF7739"/>
    <w:rPr>
      <w:b/>
      <w:bCs/>
    </w:rPr>
  </w:style>
  <w:style w:type="character" w:customStyle="1" w:styleId="SoggettocommentoCarattere">
    <w:name w:val="Soggetto commento Carattere"/>
    <w:basedOn w:val="TestocommentoCarattere"/>
    <w:link w:val="Soggettocommento"/>
    <w:uiPriority w:val="99"/>
    <w:semiHidden/>
    <w:rsid w:val="00EF77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2</Pages>
  <Words>1069</Words>
  <Characters>6096</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2024-07-11T07:13:00Z</dcterms:created>
  <dcterms:modified xsi:type="dcterms:W3CDTF">2024-07-11T13:05:00Z</dcterms:modified>
</cp:coreProperties>
</file>