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6A7F" w14:textId="77777777" w:rsidR="002F4D15" w:rsidRPr="002F4D15" w:rsidRDefault="002F4D15" w:rsidP="002F4D15">
      <w:pPr>
        <w:rPr>
          <w:b/>
          <w:bCs/>
        </w:rPr>
      </w:pPr>
      <w:r w:rsidRPr="002F4D15">
        <w:rPr>
          <w:b/>
          <w:bCs/>
        </w:rPr>
        <w:t xml:space="preserve">Quesito:  </w:t>
      </w:r>
    </w:p>
    <w:p w14:paraId="0DAAA037" w14:textId="0A107991" w:rsidR="002F4D15" w:rsidRPr="002F4D15" w:rsidRDefault="002F4D15" w:rsidP="002F4D15">
      <w:pPr>
        <w:jc w:val="both"/>
      </w:pPr>
      <w:r w:rsidRPr="002F4D15">
        <w:t>La s.p.a. a capitale interamente pubblico che gestisce il servizio idrico integrato per conto del Comune asserisce non essere dovuto il pagamento del C.U.P. ex co. 831  L. 160/2019.</w:t>
      </w:r>
    </w:p>
    <w:p w14:paraId="65D1071D" w14:textId="77777777" w:rsidR="002F4D15" w:rsidRPr="002F4D15" w:rsidRDefault="002F4D15" w:rsidP="002F4D15">
      <w:pPr>
        <w:jc w:val="both"/>
      </w:pPr>
      <w:r w:rsidRPr="002F4D15">
        <w:t>La società sostiene che la convenzione tra la stessa e l’Ente (datata 2011) comprovi l’uso gratuito del sottosuolo. La stessa convenzione però, all’articolo 31 “Oneri fiscali”. stabilisce come siano a carico del Gestore tutte le imposte, le tasse, i canoni ed i diritti stabiliti dallo Stato.</w:t>
      </w:r>
    </w:p>
    <w:p w14:paraId="1F0AD906" w14:textId="77777777" w:rsidR="002F4D15" w:rsidRDefault="002F4D15" w:rsidP="002F4D15">
      <w:pPr>
        <w:jc w:val="both"/>
      </w:pPr>
      <w:r w:rsidRPr="002F4D15">
        <w:t>Si chiede, dunque, se il pagamento del C.U.P. da parte della della suddetta società sia dovuto o meno. In caso di risposta affermativa, se l’ingiunzione ex regio decreto 639/1910 sia strumento valido per escutere il credito vantato dall’Ente.</w:t>
      </w:r>
    </w:p>
    <w:p w14:paraId="0417BAC9" w14:textId="2AB8DED9" w:rsidR="002F4D15" w:rsidRPr="002F4D15" w:rsidRDefault="002F4D15" w:rsidP="002F4D15">
      <w:pPr>
        <w:jc w:val="both"/>
        <w:rPr>
          <w:b/>
          <w:bCs/>
        </w:rPr>
      </w:pPr>
      <w:r w:rsidRPr="002F4D15">
        <w:rPr>
          <w:b/>
          <w:bCs/>
        </w:rPr>
        <w:t xml:space="preserve">Risposta </w:t>
      </w:r>
    </w:p>
    <w:p w14:paraId="5C5D91CA" w14:textId="79658031" w:rsidR="002F4D15" w:rsidRDefault="002F4D15" w:rsidP="002F4D15">
      <w:pPr>
        <w:jc w:val="both"/>
      </w:pPr>
      <w:r>
        <w:t xml:space="preserve">Il quesito è molto interessante e tratta un argomento importante sul tema della corretta applicazione del Canone ex comma 831 L.160/20189 previsto per le occupazioni </w:t>
      </w:r>
      <w:r w:rsidR="00531E50">
        <w:t xml:space="preserve">permanenti </w:t>
      </w:r>
      <w:r>
        <w:t>realizzate nell’ambito dell’erogazione dei servizi di rete.</w:t>
      </w:r>
    </w:p>
    <w:p w14:paraId="1AE8536A" w14:textId="6CC2548D" w:rsidR="002F4D15" w:rsidRDefault="002F4D15" w:rsidP="002F4D15">
      <w:pPr>
        <w:jc w:val="both"/>
      </w:pPr>
      <w:r>
        <w:t xml:space="preserve">Nel settore idrico, </w:t>
      </w:r>
      <w:r w:rsidR="00531E50">
        <w:t>abbiamo assistito in questi anni</w:t>
      </w:r>
      <w:r>
        <w:t xml:space="preserve"> a posizioni e comportamenti molto diverse tra i diversi gestori</w:t>
      </w:r>
      <w:r w:rsidR="00531E50">
        <w:t xml:space="preserve"> del nostro Paese</w:t>
      </w:r>
      <w:r>
        <w:t>. Nel caso in parola è evidente come la SPA a capitale interamente pubblico invochi l’esenzione dal CUP con riferimento a</w:t>
      </w:r>
      <w:r w:rsidR="00531E50">
        <w:t xml:space="preserve"> presunti </w:t>
      </w:r>
      <w:r>
        <w:t xml:space="preserve">requisiti soggettivi e requisiti oggettivi, </w:t>
      </w:r>
      <w:r w:rsidR="00531E50">
        <w:t>riconducibili</w:t>
      </w:r>
      <w:r>
        <w:t xml:space="preserve"> a due distinte ipotesi di esenzione fissate dal Legislatore al comma 833, rispettivamente alle lettere A e D.</w:t>
      </w:r>
    </w:p>
    <w:p w14:paraId="31E9BAAA" w14:textId="64A28B64" w:rsidR="000E5BC1" w:rsidRDefault="000E5BC1" w:rsidP="000E5BC1">
      <w:pPr>
        <w:jc w:val="both"/>
      </w:pPr>
      <w:r>
        <w:t>Innanzi tutto è bene richiamare i</w:t>
      </w:r>
      <w:r w:rsidRPr="000E5BC1">
        <w:t>l principio che vede l’esenzione di entrate, sia tributarie che patrimoniali, come ipotesi di natura eccezionale, la cui osservanza deve essere di stretta interpretazione</w:t>
      </w:r>
      <w:r>
        <w:t xml:space="preserve">. La stessa </w:t>
      </w:r>
      <w:r w:rsidRPr="000E5BC1">
        <w:t>Corte di Cassazione si è più volte espressa precisando proprio il principio secondo cui le norme fiscali di agevolazione devono essere di stretta interpretazione e non possono trovare estensione a casi in cui non si riscontrino i requisiti soggettivi oppure quelli oggettivi previsti dalla norma di agevolazione stessa (sentenza n. 17976 del 12 luglio 2021).</w:t>
      </w:r>
    </w:p>
    <w:p w14:paraId="54930658" w14:textId="203744E9" w:rsidR="000E5BC1" w:rsidRPr="0004698E" w:rsidRDefault="000E5BC1" w:rsidP="000E5BC1">
      <w:pPr>
        <w:jc w:val="both"/>
        <w:rPr>
          <w:i/>
          <w:iCs/>
          <w:u w:val="single"/>
        </w:rPr>
      </w:pPr>
      <w:r>
        <w:t xml:space="preserve">Venendo nello specifico ad analizzare quanto rivendicato nella richiesta della società, </w:t>
      </w:r>
      <w:r w:rsidR="000B3F09">
        <w:t xml:space="preserve">richiamiamo </w:t>
      </w:r>
      <w:r w:rsidR="0004698E">
        <w:t xml:space="preserve">gli </w:t>
      </w:r>
      <w:r w:rsidR="000B3F09">
        <w:t>approfondiment</w:t>
      </w:r>
      <w:r w:rsidR="0004698E">
        <w:t>i</w:t>
      </w:r>
      <w:r>
        <w:t xml:space="preserve"> pubblicat</w:t>
      </w:r>
      <w:r w:rsidR="0004698E">
        <w:t>i</w:t>
      </w:r>
      <w:r>
        <w:t xml:space="preserve"> sulla piattaforma lo scorso 12 novembre 2024 dal titolo </w:t>
      </w:r>
      <w:r w:rsidRPr="000E5BC1">
        <w:rPr>
          <w:i/>
          <w:iCs/>
        </w:rPr>
        <w:t>“</w:t>
      </w:r>
      <w:r w:rsidRPr="00652B5A">
        <w:rPr>
          <w:i/>
          <w:iCs/>
          <w:u w:val="single"/>
        </w:rPr>
        <w:t>Le Aziende Municipalizzate del Servizio Idrico Integrato pagano il CUP”</w:t>
      </w:r>
      <w:r w:rsidR="0004698E" w:rsidRPr="0004698E">
        <w:t xml:space="preserve"> e</w:t>
      </w:r>
      <w:r w:rsidR="0004698E">
        <w:t xml:space="preserve"> lo scorso 24 gennaio 2025 dal titolo: “</w:t>
      </w:r>
      <w:r w:rsidR="0004698E" w:rsidRPr="0004698E">
        <w:rPr>
          <w:i/>
          <w:iCs/>
          <w:u w:val="single"/>
        </w:rPr>
        <w:t>Il CUP per il servizio idrico è dovuto anche dalla società in house del Comune</w:t>
      </w:r>
      <w:r w:rsidR="0004698E" w:rsidRPr="0004698E">
        <w:rPr>
          <w:u w:val="single"/>
        </w:rPr>
        <w:t>”</w:t>
      </w:r>
      <w:r w:rsidR="0004698E" w:rsidRPr="0004698E">
        <w:t>.</w:t>
      </w:r>
    </w:p>
    <w:p w14:paraId="3C35A45D" w14:textId="531BF1EA" w:rsidR="00060149" w:rsidRDefault="000E5BC1" w:rsidP="000E5BC1">
      <w:pPr>
        <w:jc w:val="both"/>
      </w:pPr>
      <w:r>
        <w:t>In particolare, s</w:t>
      </w:r>
      <w:r w:rsidR="00531E50">
        <w:t xml:space="preserve">ull’eventuale </w:t>
      </w:r>
      <w:r>
        <w:t xml:space="preserve">riconoscimento dell’esenzione di cui alla lettera A del comma 833 è bene precisare che questa non potrà operare a favore di una SpA, ancorché a capitale interamente pubblico. La </w:t>
      </w:r>
      <w:r w:rsidR="000B3F09">
        <w:t>sua</w:t>
      </w:r>
      <w:r>
        <w:t xml:space="preserve"> natura giuridica, pur essendo di diritto pubblico, non esclude l</w:t>
      </w:r>
      <w:r w:rsidR="000B3F09">
        <w:t>’</w:t>
      </w:r>
      <w:r>
        <w:t>assunzione di responsabilità fiscale, così da essere assoggettat</w:t>
      </w:r>
      <w:r w:rsidR="000B3F09">
        <w:t>a</w:t>
      </w:r>
      <w:r>
        <w:t xml:space="preserve"> a imposte dirette e indirette. In sostanza non god</w:t>
      </w:r>
      <w:r w:rsidR="000B3F09">
        <w:t>e</w:t>
      </w:r>
      <w:r>
        <w:t xml:space="preserve"> di uno speciale trattamento per effetto di requisiti soggettivi propri.</w:t>
      </w:r>
    </w:p>
    <w:p w14:paraId="4CC38840" w14:textId="42E4DFEA" w:rsidR="000B3F09" w:rsidRDefault="000B3F09" w:rsidP="000B3F09">
      <w:pPr>
        <w:jc w:val="both"/>
      </w:pPr>
      <w:r>
        <w:t xml:space="preserve">Il testo normativo prevede: </w:t>
      </w:r>
      <w:r w:rsidRPr="000B3F09">
        <w:rPr>
          <w:i/>
          <w:iCs/>
        </w:rPr>
        <w:t>“sono esenti dal canone: a) le occupazioni effettuate dallo Stato, dalle regioni, province, città</w:t>
      </w:r>
      <w:r>
        <w:rPr>
          <w:i/>
          <w:iCs/>
        </w:rPr>
        <w:t xml:space="preserve"> </w:t>
      </w:r>
      <w:r w:rsidRPr="000B3F09">
        <w:rPr>
          <w:i/>
          <w:iCs/>
        </w:rPr>
        <w:t>metropolitane, comuni e loro consorzi, da enti religiosi per l'esercizio di culti ammessi nello Stato, enti pubblici di cui all'articolo 73. comma 1, lettera c del testo unico delle Imposte sui redditi, di cui al</w:t>
      </w:r>
      <w:r>
        <w:rPr>
          <w:i/>
          <w:iCs/>
        </w:rPr>
        <w:t xml:space="preserve"> </w:t>
      </w:r>
      <w:r w:rsidRPr="000B3F09">
        <w:rPr>
          <w:i/>
          <w:iCs/>
        </w:rPr>
        <w:t>decreto del Presidente della Repubblica 22 dicembre 1986, numero 917, per finalità specifiche di</w:t>
      </w:r>
      <w:r>
        <w:rPr>
          <w:i/>
          <w:iCs/>
        </w:rPr>
        <w:t xml:space="preserve"> </w:t>
      </w:r>
      <w:r w:rsidRPr="000B3F09">
        <w:rPr>
          <w:i/>
          <w:iCs/>
        </w:rPr>
        <w:t>assistenza, previdenza, sanità, educazione, cultura e ricerca scientifica”.</w:t>
      </w:r>
      <w:r>
        <w:rPr>
          <w:i/>
          <w:iCs/>
        </w:rPr>
        <w:t xml:space="preserve"> </w:t>
      </w:r>
      <w:r>
        <w:t>Ipotesi che non riguardano la SPA a capitale pubblico che opera con finalità di erogazione di servizi pubblici di rete.</w:t>
      </w:r>
    </w:p>
    <w:p w14:paraId="0EBDF0F4" w14:textId="24F14E6E" w:rsidR="000B3F09" w:rsidRDefault="000B3F09" w:rsidP="00D830CA">
      <w:pPr>
        <w:jc w:val="both"/>
      </w:pPr>
      <w:r>
        <w:t>Venendo poi all’affermazione secondo la quale “</w:t>
      </w:r>
      <w:r w:rsidRPr="002F4D15">
        <w:t>la convenzione tra la stessa e l’Ente (datata 2011) comprovi l’uso gratuito del sottosuolo</w:t>
      </w:r>
      <w:r>
        <w:t xml:space="preserve">”, è bene precisare che a favore della società che gestisce il ciclo idrico, viene riconosciuto l’uso gratuito della rete idrica che per espressa previsione normativa è di proprietà pubblica. La circostanza quindi che venga prevista in convenzione l’uso della rete a titolo gratuito non comporta che sia riconosciuta </w:t>
      </w:r>
      <w:r w:rsidR="00D830CA">
        <w:t xml:space="preserve">anche </w:t>
      </w:r>
      <w:r>
        <w:t xml:space="preserve">l’esenzione dal Canone Unico, </w:t>
      </w:r>
      <w:r w:rsidR="00D830CA">
        <w:t>né</w:t>
      </w:r>
      <w:r>
        <w:t xml:space="preserve"> da qualunque altra forma di tassazione diretta o </w:t>
      </w:r>
      <w:r>
        <w:lastRenderedPageBreak/>
        <w:t xml:space="preserve">indiretta. </w:t>
      </w:r>
      <w:r w:rsidR="0004698E">
        <w:t xml:space="preserve">La soggettività passiva nel settore dell’erogazione dei servizi pubblici si forma </w:t>
      </w:r>
      <w:r w:rsidR="00DE5650">
        <w:t xml:space="preserve">sempre </w:t>
      </w:r>
      <w:r w:rsidR="0004698E">
        <w:t>a carico delle società che conducono la rete, non solo come titolar</w:t>
      </w:r>
      <w:r w:rsidR="00DE5650">
        <w:t>e</w:t>
      </w:r>
      <w:r w:rsidR="0004698E">
        <w:t xml:space="preserve"> dell’atto di concessione ma anche come occupant</w:t>
      </w:r>
      <w:r w:rsidR="00DE5650">
        <w:t>e</w:t>
      </w:r>
      <w:r w:rsidR="0004698E">
        <w:t xml:space="preserve"> in via mediata, senza quindi esserne proprietari</w:t>
      </w:r>
      <w:r w:rsidR="00DE5650">
        <w:t>a</w:t>
      </w:r>
      <w:r w:rsidR="0004698E">
        <w:t xml:space="preserve">. </w:t>
      </w:r>
    </w:p>
    <w:p w14:paraId="0313A558" w14:textId="53C57333" w:rsidR="00127A24" w:rsidRDefault="00D830CA" w:rsidP="00127A24">
      <w:pPr>
        <w:jc w:val="both"/>
        <w:rPr>
          <w:sz w:val="24"/>
          <w:szCs w:val="24"/>
        </w:rPr>
      </w:pPr>
      <w:r>
        <w:t xml:space="preserve">L’ipotesi di esenzione prevista dal Legislatore alla lettera D del comma 833, chiaramente </w:t>
      </w:r>
      <w:r>
        <w:rPr>
          <w:sz w:val="24"/>
          <w:szCs w:val="24"/>
        </w:rPr>
        <w:t xml:space="preserve">non </w:t>
      </w:r>
      <w:r w:rsidRPr="00777C80">
        <w:rPr>
          <w:sz w:val="24"/>
          <w:szCs w:val="24"/>
        </w:rPr>
        <w:t>potrà trovare applicazione</w:t>
      </w:r>
      <w:r>
        <w:rPr>
          <w:sz w:val="24"/>
          <w:szCs w:val="24"/>
        </w:rPr>
        <w:t xml:space="preserve"> al caso di specie</w:t>
      </w:r>
      <w:r w:rsidR="00DE5650">
        <w:rPr>
          <w:sz w:val="24"/>
          <w:szCs w:val="24"/>
        </w:rPr>
        <w:t xml:space="preserve"> (mai nell’ambito idrico)</w:t>
      </w:r>
      <w:r>
        <w:rPr>
          <w:sz w:val="24"/>
          <w:szCs w:val="24"/>
        </w:rPr>
        <w:t>, in</w:t>
      </w:r>
      <w:r w:rsidRPr="00777C80">
        <w:rPr>
          <w:sz w:val="24"/>
          <w:szCs w:val="24"/>
        </w:rPr>
        <w:t xml:space="preserve"> quanto non si realizza quella condizione di beneficio prevista a favore del Comune. Non sarà infatti possibile</w:t>
      </w:r>
      <w:r>
        <w:rPr>
          <w:sz w:val="24"/>
          <w:szCs w:val="24"/>
        </w:rPr>
        <w:t>,</w:t>
      </w:r>
      <w:r w:rsidRPr="00777C80">
        <w:rPr>
          <w:sz w:val="24"/>
          <w:szCs w:val="24"/>
        </w:rPr>
        <w:t xml:space="preserve"> al termine della concessione</w:t>
      </w:r>
      <w:r>
        <w:rPr>
          <w:sz w:val="24"/>
          <w:szCs w:val="24"/>
        </w:rPr>
        <w:t>,</w:t>
      </w:r>
      <w:r w:rsidRPr="00777C80">
        <w:rPr>
          <w:sz w:val="24"/>
          <w:szCs w:val="24"/>
        </w:rPr>
        <w:t xml:space="preserve"> pr</w:t>
      </w:r>
      <w:r>
        <w:rPr>
          <w:sz w:val="24"/>
          <w:szCs w:val="24"/>
        </w:rPr>
        <w:t>o</w:t>
      </w:r>
      <w:r w:rsidRPr="00777C80">
        <w:rPr>
          <w:sz w:val="24"/>
          <w:szCs w:val="24"/>
        </w:rPr>
        <w:t xml:space="preserve">cedere </w:t>
      </w:r>
      <w:r>
        <w:rPr>
          <w:sz w:val="24"/>
          <w:szCs w:val="24"/>
        </w:rPr>
        <w:t xml:space="preserve">ad </w:t>
      </w:r>
      <w:r w:rsidRPr="00777C80">
        <w:rPr>
          <w:sz w:val="24"/>
          <w:szCs w:val="24"/>
        </w:rPr>
        <w:t>alcuna devoluzione gratuita a favore dell’ente</w:t>
      </w:r>
      <w:r>
        <w:rPr>
          <w:sz w:val="24"/>
          <w:szCs w:val="24"/>
        </w:rPr>
        <w:t xml:space="preserve"> da parte del gestore</w:t>
      </w:r>
      <w:r w:rsidRPr="00777C80">
        <w:rPr>
          <w:sz w:val="24"/>
          <w:szCs w:val="24"/>
        </w:rPr>
        <w:t>, trattandosi già di impianti di proprietà</w:t>
      </w:r>
      <w:r>
        <w:rPr>
          <w:sz w:val="24"/>
          <w:szCs w:val="24"/>
        </w:rPr>
        <w:t xml:space="preserve"> pubblica. Si assisterà piuttosto ad una restituzione della rete, che non significa</w:t>
      </w:r>
      <w:r w:rsidR="00DE5650">
        <w:rPr>
          <w:sz w:val="24"/>
          <w:szCs w:val="24"/>
        </w:rPr>
        <w:t xml:space="preserve"> appunto </w:t>
      </w:r>
      <w:r>
        <w:rPr>
          <w:sz w:val="24"/>
          <w:szCs w:val="24"/>
        </w:rPr>
        <w:t xml:space="preserve"> devoluzione gratuita.</w:t>
      </w:r>
      <w:r w:rsidR="00127A24">
        <w:rPr>
          <w:sz w:val="24"/>
          <w:szCs w:val="24"/>
        </w:rPr>
        <w:t xml:space="preserve"> </w:t>
      </w:r>
    </w:p>
    <w:p w14:paraId="2B8C3E65" w14:textId="77777777" w:rsidR="00DE5650" w:rsidRDefault="00127A24" w:rsidP="00127A24">
      <w:pPr>
        <w:jc w:val="both"/>
        <w:rPr>
          <w:i/>
          <w:iCs/>
          <w:sz w:val="24"/>
          <w:szCs w:val="24"/>
        </w:rPr>
      </w:pPr>
      <w:r>
        <w:rPr>
          <w:sz w:val="24"/>
          <w:szCs w:val="24"/>
        </w:rPr>
        <w:t xml:space="preserve">Il testo normativo della lettera D del comma 833 prevede </w:t>
      </w:r>
      <w:r w:rsidR="00DE5650">
        <w:rPr>
          <w:sz w:val="24"/>
          <w:szCs w:val="24"/>
        </w:rPr>
        <w:t xml:space="preserve">infatti </w:t>
      </w:r>
      <w:r>
        <w:rPr>
          <w:sz w:val="24"/>
          <w:szCs w:val="24"/>
        </w:rPr>
        <w:t>l’esenzione per: “</w:t>
      </w:r>
      <w:r w:rsidRPr="00127A24">
        <w:rPr>
          <w:i/>
          <w:iCs/>
          <w:sz w:val="24"/>
          <w:szCs w:val="24"/>
        </w:rPr>
        <w:t>d) le occupazioni con impianti adibiti ai servizi pubblici nei casi in cui ne sia prevista, all'atto della concessione o successivamente, la devoluzione gratuita al comune al termine della concessione medesima;”</w:t>
      </w:r>
      <w:r>
        <w:rPr>
          <w:i/>
          <w:iCs/>
          <w:sz w:val="24"/>
          <w:szCs w:val="24"/>
        </w:rPr>
        <w:t xml:space="preserve">. </w:t>
      </w:r>
    </w:p>
    <w:p w14:paraId="381174C0" w14:textId="1B5FB5F4" w:rsidR="00127A24" w:rsidRPr="00DE5650" w:rsidRDefault="00DE5650" w:rsidP="00127A24">
      <w:pPr>
        <w:jc w:val="both"/>
        <w:rPr>
          <w:sz w:val="24"/>
          <w:szCs w:val="24"/>
        </w:rPr>
      </w:pPr>
      <w:r w:rsidRPr="00DE5650">
        <w:rPr>
          <w:sz w:val="24"/>
          <w:szCs w:val="24"/>
        </w:rPr>
        <w:t>Viceversa</w:t>
      </w:r>
      <w:r w:rsidR="008E2381">
        <w:rPr>
          <w:sz w:val="24"/>
          <w:szCs w:val="24"/>
        </w:rPr>
        <w:t xml:space="preserve">, per quanto riguarda le reti del servizio idrico, </w:t>
      </w:r>
      <w:r w:rsidR="00127A24">
        <w:rPr>
          <w:sz w:val="24"/>
          <w:szCs w:val="24"/>
        </w:rPr>
        <w:t>l</w:t>
      </w:r>
      <w:r w:rsidR="00127A24" w:rsidRPr="00127A24">
        <w:rPr>
          <w:sz w:val="24"/>
          <w:szCs w:val="24"/>
        </w:rPr>
        <w:t>’art</w:t>
      </w:r>
      <w:r w:rsidR="008E2381">
        <w:rPr>
          <w:sz w:val="24"/>
          <w:szCs w:val="24"/>
        </w:rPr>
        <w:t>icolo</w:t>
      </w:r>
      <w:r w:rsidR="00127A24" w:rsidRPr="00127A24">
        <w:rPr>
          <w:sz w:val="24"/>
          <w:szCs w:val="24"/>
        </w:rPr>
        <w:t xml:space="preserve"> 151 </w:t>
      </w:r>
      <w:r w:rsidR="008E2381">
        <w:rPr>
          <w:sz w:val="24"/>
          <w:szCs w:val="24"/>
        </w:rPr>
        <w:t xml:space="preserve">del </w:t>
      </w:r>
      <w:r w:rsidR="00127A24" w:rsidRPr="00127A24">
        <w:rPr>
          <w:sz w:val="24"/>
          <w:szCs w:val="24"/>
        </w:rPr>
        <w:t>d.lgs 151/2006</w:t>
      </w:r>
      <w:r w:rsidR="00127A24">
        <w:rPr>
          <w:sz w:val="24"/>
          <w:szCs w:val="24"/>
        </w:rPr>
        <w:t xml:space="preserve"> </w:t>
      </w:r>
      <w:r w:rsidR="00127A24" w:rsidRPr="00127A24">
        <w:rPr>
          <w:sz w:val="24"/>
          <w:szCs w:val="24"/>
        </w:rPr>
        <w:t>prevede</w:t>
      </w:r>
      <w:r w:rsidR="00127A24" w:rsidRPr="00127A24">
        <w:rPr>
          <w:i/>
          <w:iCs/>
          <w:sz w:val="24"/>
          <w:szCs w:val="24"/>
        </w:rPr>
        <w:t xml:space="preserve"> “l'obbligo di restituzione, alla scadenza dell'affidamento, delle opere, degli impianti e delle canalizzazioni del servizio idrico integrato in condizioni di efficienza ed in buono stato di conservazione, nonché la disciplina delle conseguenze derivanti dalla eventuale cessazione anticipata dell'affidamento, anche tenendo conto delle previsioni di cui agli articoli 143 e 158 del decreto legislativo 12 aprile 2006, n.163, ed i criteri e le modalità per la valutazione del valore residuo degli investimenti realizzati dal gestore uscente”.</w:t>
      </w:r>
      <w:r>
        <w:rPr>
          <w:i/>
          <w:iCs/>
          <w:sz w:val="24"/>
          <w:szCs w:val="24"/>
        </w:rPr>
        <w:t xml:space="preserve"> </w:t>
      </w:r>
      <w:r>
        <w:rPr>
          <w:sz w:val="24"/>
          <w:szCs w:val="24"/>
        </w:rPr>
        <w:t>Ipotesi ben diversa da quella prevista per l’esenzione CUP.</w:t>
      </w:r>
    </w:p>
    <w:p w14:paraId="3B0F6741" w14:textId="0E401A7E" w:rsidR="00127A24" w:rsidRDefault="00127A24" w:rsidP="00127A24">
      <w:pPr>
        <w:jc w:val="both"/>
        <w:rPr>
          <w:sz w:val="24"/>
          <w:szCs w:val="24"/>
        </w:rPr>
      </w:pPr>
      <w:r>
        <w:rPr>
          <w:sz w:val="24"/>
          <w:szCs w:val="24"/>
        </w:rPr>
        <w:t xml:space="preserve">Escludendo pertanto entrambe le ipotesi di esenzione stabilite dal Legislatore, non resta che sottolineare come non vi siano </w:t>
      </w:r>
      <w:r w:rsidR="008E2381">
        <w:rPr>
          <w:sz w:val="24"/>
          <w:szCs w:val="24"/>
        </w:rPr>
        <w:t>altre</w:t>
      </w:r>
      <w:r>
        <w:rPr>
          <w:sz w:val="24"/>
          <w:szCs w:val="24"/>
        </w:rPr>
        <w:t xml:space="preserve"> condizioni </w:t>
      </w:r>
      <w:r w:rsidR="00DE5650">
        <w:rPr>
          <w:sz w:val="24"/>
          <w:szCs w:val="24"/>
        </w:rPr>
        <w:t xml:space="preserve">possibili </w:t>
      </w:r>
      <w:r>
        <w:rPr>
          <w:sz w:val="24"/>
          <w:szCs w:val="24"/>
        </w:rPr>
        <w:t xml:space="preserve">per riconoscere alcun tipo di esclusione dal pagamento del Canone. È bene specificare peraltro che </w:t>
      </w:r>
      <w:r w:rsidR="008E2381">
        <w:rPr>
          <w:sz w:val="24"/>
          <w:szCs w:val="24"/>
        </w:rPr>
        <w:t xml:space="preserve">eventuali </w:t>
      </w:r>
      <w:r>
        <w:rPr>
          <w:sz w:val="24"/>
          <w:szCs w:val="24"/>
        </w:rPr>
        <w:t xml:space="preserve">disposizioni contenute all’interno di una convenzione </w:t>
      </w:r>
      <w:r w:rsidR="008E2381">
        <w:rPr>
          <w:sz w:val="24"/>
          <w:szCs w:val="24"/>
        </w:rPr>
        <w:t>(non pare</w:t>
      </w:r>
      <w:r w:rsidR="00DE5650">
        <w:rPr>
          <w:sz w:val="24"/>
          <w:szCs w:val="24"/>
        </w:rPr>
        <w:t xml:space="preserve"> in ogni caso rinvenibile</w:t>
      </w:r>
      <w:r w:rsidR="008E2381">
        <w:rPr>
          <w:sz w:val="24"/>
          <w:szCs w:val="24"/>
        </w:rPr>
        <w:t xml:space="preserve"> nel</w:t>
      </w:r>
      <w:r w:rsidR="00DE5650">
        <w:rPr>
          <w:sz w:val="24"/>
          <w:szCs w:val="24"/>
        </w:rPr>
        <w:t xml:space="preserve">l’ipotesi </w:t>
      </w:r>
      <w:r w:rsidR="008E2381">
        <w:rPr>
          <w:sz w:val="24"/>
          <w:szCs w:val="24"/>
        </w:rPr>
        <w:t xml:space="preserve">in parola) </w:t>
      </w:r>
      <w:r>
        <w:rPr>
          <w:sz w:val="24"/>
          <w:szCs w:val="24"/>
        </w:rPr>
        <w:t xml:space="preserve">non potrebbero </w:t>
      </w:r>
      <w:r w:rsidR="00DE5650">
        <w:rPr>
          <w:sz w:val="24"/>
          <w:szCs w:val="24"/>
        </w:rPr>
        <w:t>ad</w:t>
      </w:r>
      <w:r>
        <w:rPr>
          <w:sz w:val="24"/>
          <w:szCs w:val="24"/>
        </w:rPr>
        <w:t xml:space="preserve"> ogni </w:t>
      </w:r>
      <w:r w:rsidR="00DE5650">
        <w:rPr>
          <w:sz w:val="24"/>
          <w:szCs w:val="24"/>
        </w:rPr>
        <w:t>modo</w:t>
      </w:r>
      <w:r>
        <w:rPr>
          <w:sz w:val="24"/>
          <w:szCs w:val="24"/>
        </w:rPr>
        <w:t xml:space="preserve"> prevedere esenzioni particolari per un singolo soggetto. Ogni ipotesi di esenzione o agevolazione fiscale deve </w:t>
      </w:r>
      <w:r w:rsidR="008E2381">
        <w:rPr>
          <w:sz w:val="24"/>
          <w:szCs w:val="24"/>
        </w:rPr>
        <w:t xml:space="preserve">sempre </w:t>
      </w:r>
      <w:r>
        <w:rPr>
          <w:sz w:val="24"/>
          <w:szCs w:val="24"/>
        </w:rPr>
        <w:t xml:space="preserve">trovare spazio nella Legge o nella disposizione regolamentare e non </w:t>
      </w:r>
      <w:r w:rsidR="00DE5650">
        <w:rPr>
          <w:sz w:val="24"/>
          <w:szCs w:val="24"/>
        </w:rPr>
        <w:t>potrà</w:t>
      </w:r>
      <w:r>
        <w:rPr>
          <w:sz w:val="24"/>
          <w:szCs w:val="24"/>
        </w:rPr>
        <w:t xml:space="preserve"> </w:t>
      </w:r>
      <w:r w:rsidR="008E2381">
        <w:rPr>
          <w:sz w:val="24"/>
          <w:szCs w:val="24"/>
        </w:rPr>
        <w:t xml:space="preserve">mai </w:t>
      </w:r>
      <w:r>
        <w:rPr>
          <w:sz w:val="24"/>
          <w:szCs w:val="24"/>
        </w:rPr>
        <w:t>riguardare un singolo rapporto tra la Pubblica Amministrazione e una società contribuente.</w:t>
      </w:r>
    </w:p>
    <w:p w14:paraId="2FFC1BC3" w14:textId="27AA4FAA" w:rsidR="008E2381" w:rsidRDefault="008E2381" w:rsidP="00127A24">
      <w:pPr>
        <w:jc w:val="both"/>
        <w:rPr>
          <w:sz w:val="24"/>
          <w:szCs w:val="24"/>
        </w:rPr>
      </w:pPr>
      <w:r>
        <w:rPr>
          <w:sz w:val="24"/>
          <w:szCs w:val="24"/>
        </w:rPr>
        <w:t xml:space="preserve">Detto </w:t>
      </w:r>
      <w:r w:rsidR="00DE5650">
        <w:rPr>
          <w:sz w:val="24"/>
          <w:szCs w:val="24"/>
        </w:rPr>
        <w:t xml:space="preserve">quindi </w:t>
      </w:r>
      <w:r>
        <w:rPr>
          <w:sz w:val="24"/>
          <w:szCs w:val="24"/>
        </w:rPr>
        <w:t xml:space="preserve">che non è ipotizzabile alcune ipotesi di esenzione per l’azienda a capitale pubblico che eroga i servizi legati al ciclo idrico, è bene precisare, come descritto nell’approfondimento pubblicato il 28 luglio 2025 dal titolo </w:t>
      </w:r>
      <w:r w:rsidRPr="008E2381">
        <w:rPr>
          <w:i/>
          <w:iCs/>
          <w:sz w:val="24"/>
          <w:szCs w:val="24"/>
        </w:rPr>
        <w:t>“</w:t>
      </w:r>
      <w:r w:rsidRPr="00652B5A">
        <w:rPr>
          <w:i/>
          <w:iCs/>
          <w:sz w:val="24"/>
          <w:szCs w:val="24"/>
          <w:u w:val="single"/>
        </w:rPr>
        <w:t>Il CUP per il servizio idrico si paga per due distinte reti acqua potabile e fognatura</w:t>
      </w:r>
      <w:r w:rsidRPr="008E2381">
        <w:rPr>
          <w:i/>
          <w:iCs/>
          <w:sz w:val="24"/>
          <w:szCs w:val="24"/>
        </w:rPr>
        <w:t>”</w:t>
      </w:r>
      <w:r>
        <w:rPr>
          <w:sz w:val="24"/>
          <w:szCs w:val="24"/>
        </w:rPr>
        <w:t>, che il conteggio del canone dovrà essere eseguito sia per le utenze attive servite per l’allaccio all’acqua potabile, sia per quelle collegate alla fognatura, chiaramente se entrambi i servizi sono gestiti dalla</w:t>
      </w:r>
      <w:r w:rsidR="00DE5650">
        <w:rPr>
          <w:sz w:val="24"/>
          <w:szCs w:val="24"/>
        </w:rPr>
        <w:t xml:space="preserve"> stessa</w:t>
      </w:r>
      <w:r>
        <w:rPr>
          <w:sz w:val="24"/>
          <w:szCs w:val="24"/>
        </w:rPr>
        <w:t xml:space="preserve"> SpA</w:t>
      </w:r>
      <w:r w:rsidR="00DE5650">
        <w:rPr>
          <w:sz w:val="24"/>
          <w:szCs w:val="24"/>
        </w:rPr>
        <w:t xml:space="preserve"> (l’unica ipotesi di esclusione dal CUP si avrebbe se il servizio fosse erogato in economia direttamente dal Comune stesso)</w:t>
      </w:r>
      <w:r>
        <w:rPr>
          <w:sz w:val="24"/>
          <w:szCs w:val="24"/>
        </w:rPr>
        <w:t>.</w:t>
      </w:r>
    </w:p>
    <w:p w14:paraId="1C9E62B6" w14:textId="6624CDD4" w:rsidR="000B3F09" w:rsidRPr="000B3F09" w:rsidRDefault="008E2381" w:rsidP="000B3F09">
      <w:pPr>
        <w:jc w:val="both"/>
      </w:pPr>
      <w:r>
        <w:rPr>
          <w:sz w:val="24"/>
          <w:szCs w:val="24"/>
        </w:rPr>
        <w:t xml:space="preserve">Infine, si precisa che </w:t>
      </w:r>
      <w:r w:rsidR="00DE5650">
        <w:rPr>
          <w:sz w:val="24"/>
          <w:szCs w:val="24"/>
        </w:rPr>
        <w:t xml:space="preserve">il provvedimento </w:t>
      </w:r>
      <w:r>
        <w:rPr>
          <w:sz w:val="24"/>
          <w:szCs w:val="24"/>
        </w:rPr>
        <w:t xml:space="preserve">per il recupero del canone non versato dovrà essere l’avviso di accertamento esecutivo ex comma 792 della legge 160/2019 previsto sia per il recupero delle entrate tributarie che per quelle patrimoniali. Viene di fatto superato l’utilizzo dell’Ingiunzione fiscale ex RD 639/1910 potendo utilizzare, anche per il CUP, lo strumento dell’avviso di accertamento con il quale si potrà procedere al recupero del canone </w:t>
      </w:r>
      <w:r w:rsidR="00DE5650">
        <w:rPr>
          <w:sz w:val="24"/>
          <w:szCs w:val="24"/>
        </w:rPr>
        <w:t xml:space="preserve">non versato (dal 2021 al 2025) </w:t>
      </w:r>
      <w:r>
        <w:rPr>
          <w:sz w:val="24"/>
          <w:szCs w:val="24"/>
        </w:rPr>
        <w:t xml:space="preserve">e </w:t>
      </w:r>
      <w:r w:rsidR="00652B5A">
        <w:rPr>
          <w:sz w:val="24"/>
          <w:szCs w:val="24"/>
        </w:rPr>
        <w:t>all’irrogazione delle</w:t>
      </w:r>
      <w:r>
        <w:rPr>
          <w:sz w:val="24"/>
          <w:szCs w:val="24"/>
        </w:rPr>
        <w:t xml:space="preserve"> sanzioni previste dal comma 821 lettera H della legge 160/2019</w:t>
      </w:r>
      <w:r w:rsidR="00652B5A">
        <w:rPr>
          <w:sz w:val="24"/>
          <w:szCs w:val="24"/>
        </w:rPr>
        <w:t xml:space="preserve"> e </w:t>
      </w:r>
      <w:r w:rsidR="00DE5650">
        <w:rPr>
          <w:sz w:val="24"/>
          <w:szCs w:val="24"/>
        </w:rPr>
        <w:t xml:space="preserve">disciplinate nel </w:t>
      </w:r>
      <w:r w:rsidR="00652B5A">
        <w:rPr>
          <w:sz w:val="24"/>
          <w:szCs w:val="24"/>
        </w:rPr>
        <w:t xml:space="preserve">Regolamento </w:t>
      </w:r>
      <w:r w:rsidR="00652B5A">
        <w:rPr>
          <w:sz w:val="24"/>
          <w:szCs w:val="24"/>
        </w:rPr>
        <w:lastRenderedPageBreak/>
        <w:t>Comunale</w:t>
      </w:r>
      <w:r w:rsidR="00DE5650">
        <w:rPr>
          <w:sz w:val="24"/>
          <w:szCs w:val="24"/>
        </w:rPr>
        <w:t>, oltre chiaramente agli interessi maturati dal giorno in cui, per ciascun anno, doveva essere versato il canone.</w:t>
      </w:r>
    </w:p>
    <w:sectPr w:rsidR="000B3F09" w:rsidRPr="000B3F0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A26"/>
    <w:rsid w:val="0004698E"/>
    <w:rsid w:val="00060149"/>
    <w:rsid w:val="000B3F09"/>
    <w:rsid w:val="000E5BC1"/>
    <w:rsid w:val="00127A24"/>
    <w:rsid w:val="002F4D15"/>
    <w:rsid w:val="00531E50"/>
    <w:rsid w:val="00652B5A"/>
    <w:rsid w:val="007B1496"/>
    <w:rsid w:val="008402A9"/>
    <w:rsid w:val="008E2381"/>
    <w:rsid w:val="00966E2D"/>
    <w:rsid w:val="00D830CA"/>
    <w:rsid w:val="00DE5650"/>
    <w:rsid w:val="00EE2A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D624A"/>
  <w15:chartTrackingRefBased/>
  <w15:docId w15:val="{EE50A87A-36DF-4002-9225-9BA8B964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E2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EE2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E2A2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E2A2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E2A2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EE2A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E2A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E2A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E2A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E2A2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EE2A2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E2A2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E2A2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EE2A2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EE2A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E2A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E2A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E2A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EE2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E2A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E2A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E2A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E2A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E2A26"/>
    <w:rPr>
      <w:i/>
      <w:iCs/>
      <w:color w:val="404040" w:themeColor="text1" w:themeTint="BF"/>
    </w:rPr>
  </w:style>
  <w:style w:type="paragraph" w:styleId="Paragrafoelenco">
    <w:name w:val="List Paragraph"/>
    <w:basedOn w:val="Normale"/>
    <w:uiPriority w:val="34"/>
    <w:qFormat/>
    <w:rsid w:val="00EE2A26"/>
    <w:pPr>
      <w:ind w:left="720"/>
      <w:contextualSpacing/>
    </w:pPr>
  </w:style>
  <w:style w:type="character" w:styleId="Enfasiintensa">
    <w:name w:val="Intense Emphasis"/>
    <w:basedOn w:val="Carpredefinitoparagrafo"/>
    <w:uiPriority w:val="21"/>
    <w:qFormat/>
    <w:rsid w:val="00EE2A26"/>
    <w:rPr>
      <w:i/>
      <w:iCs/>
      <w:color w:val="2F5496" w:themeColor="accent1" w:themeShade="BF"/>
    </w:rPr>
  </w:style>
  <w:style w:type="paragraph" w:styleId="Citazioneintensa">
    <w:name w:val="Intense Quote"/>
    <w:basedOn w:val="Normale"/>
    <w:next w:val="Normale"/>
    <w:link w:val="CitazioneintensaCarattere"/>
    <w:uiPriority w:val="30"/>
    <w:qFormat/>
    <w:rsid w:val="00EE2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E2A26"/>
    <w:rPr>
      <w:i/>
      <w:iCs/>
      <w:color w:val="2F5496" w:themeColor="accent1" w:themeShade="BF"/>
    </w:rPr>
  </w:style>
  <w:style w:type="character" w:styleId="Riferimentointenso">
    <w:name w:val="Intense Reference"/>
    <w:basedOn w:val="Carpredefinitoparagrafo"/>
    <w:uiPriority w:val="32"/>
    <w:qFormat/>
    <w:rsid w:val="00EE2A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1180</Words>
  <Characters>6731</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2025-07-28T10:11:00Z</dcterms:created>
  <dcterms:modified xsi:type="dcterms:W3CDTF">2025-07-28T12:22:00Z</dcterms:modified>
</cp:coreProperties>
</file>