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255B" w14:textId="68EDD00A" w:rsidR="00060149" w:rsidRDefault="000F4220">
      <w:r>
        <w:t xml:space="preserve">Titolo: RFI non è esente dal pagamento del CUP - </w:t>
      </w:r>
      <w:r w:rsidRPr="000F4220">
        <w:t>TAR Piemonte – Sez.II – Sentenza n.7 del 7/1/2025</w:t>
      </w:r>
    </w:p>
    <w:p w14:paraId="67C8AFE0" w14:textId="2948C16F" w:rsidR="000F4220" w:rsidRDefault="000F4220">
      <w:r>
        <w:t>di Alessandro Merciari</w:t>
      </w:r>
    </w:p>
    <w:p w14:paraId="39077216" w14:textId="77777777" w:rsidR="000F4220" w:rsidRDefault="000F4220" w:rsidP="000D488A">
      <w:pPr>
        <w:jc w:val="both"/>
      </w:pPr>
    </w:p>
    <w:p w14:paraId="79D9A839" w14:textId="7274E902" w:rsidR="000F4220" w:rsidRDefault="000F4220" w:rsidP="000D488A">
      <w:pPr>
        <w:jc w:val="both"/>
      </w:pPr>
      <w:r>
        <w:t>Importante sentenza pronunciata dal TAR Piemonte in relazione ad un ricorso che ha visto contrapposti gli interessi di RFI</w:t>
      </w:r>
      <w:r w:rsidR="008C17F1">
        <w:t xml:space="preserve">, </w:t>
      </w:r>
      <w:r w:rsidR="008C17F1" w:rsidRPr="000D488A">
        <w:t>Rete</w:t>
      </w:r>
      <w:r w:rsidR="008C17F1">
        <w:t xml:space="preserve"> </w:t>
      </w:r>
      <w:r w:rsidR="008C17F1" w:rsidRPr="000D488A">
        <w:t>Ferroviaria Italiana S.p.A</w:t>
      </w:r>
      <w:r>
        <w:t xml:space="preserve"> e </w:t>
      </w:r>
      <w:r w:rsidR="008C17F1">
        <w:t>il</w:t>
      </w:r>
      <w:r>
        <w:t xml:space="preserve"> Comune di Ivrea.</w:t>
      </w:r>
    </w:p>
    <w:p w14:paraId="40040888" w14:textId="26D05149" w:rsidR="000F4220" w:rsidRDefault="000F4220" w:rsidP="000D488A">
      <w:pPr>
        <w:jc w:val="both"/>
      </w:pPr>
      <w:r>
        <w:t>I giudici amministrativi</w:t>
      </w:r>
      <w:r w:rsidR="008C17F1">
        <w:t xml:space="preserve"> del Piemonte con la sentenza </w:t>
      </w:r>
      <w:r w:rsidR="008C17F1" w:rsidRPr="000F4220">
        <w:t>n.7 del 7/1/2025</w:t>
      </w:r>
      <w:r w:rsidR="008C17F1">
        <w:t>,</w:t>
      </w:r>
      <w:r>
        <w:t xml:space="preserve"> hanno riconosciuto la soggettività passiva di RFI che </w:t>
      </w:r>
      <w:r w:rsidR="008C17F1">
        <w:t>aveva</w:t>
      </w:r>
      <w:r>
        <w:t xml:space="preserve"> occupato il suolo pubblico comunale per la realizzazione di un’opera ferroviaria di cui la stessa è concessionaria e che gestisce in regime privatistico d’impresa. </w:t>
      </w:r>
    </w:p>
    <w:p w14:paraId="5A839256" w14:textId="43F0D7F0" w:rsidR="008C17F1" w:rsidRDefault="008C17F1" w:rsidP="000D488A">
      <w:pPr>
        <w:jc w:val="both"/>
      </w:pPr>
      <w:r>
        <w:t>In</w:t>
      </w:r>
      <w:r w:rsidR="007C432D">
        <w:t xml:space="preserve"> questa pronuncia viene deciso</w:t>
      </w:r>
      <w:r>
        <w:t>, motivando in modo molto articolato,</w:t>
      </w:r>
      <w:r w:rsidR="007C432D">
        <w:t xml:space="preserve"> che n</w:t>
      </w:r>
      <w:r w:rsidR="000F4220">
        <w:t xml:space="preserve">on può </w:t>
      </w:r>
      <w:r>
        <w:t xml:space="preserve">in nessun caso </w:t>
      </w:r>
      <w:r w:rsidR="000F4220">
        <w:t>essere riconosciuta l’ipotesi di esenzione prevista</w:t>
      </w:r>
      <w:r w:rsidR="000F4220" w:rsidRPr="000F4220">
        <w:t xml:space="preserve"> </w:t>
      </w:r>
      <w:r>
        <w:t xml:space="preserve">a favore delle occupazioni realizzate dallo Stato, di cui </w:t>
      </w:r>
      <w:r w:rsidR="000F4220">
        <w:t>all’art. 1, comma 833, lettera a) della Legge 160/2019</w:t>
      </w:r>
      <w:r w:rsidR="005E2595">
        <w:t xml:space="preserve"> in quanto </w:t>
      </w:r>
      <w:r w:rsidR="000F4220">
        <w:t>RFI</w:t>
      </w:r>
      <w:r>
        <w:t>,</w:t>
      </w:r>
      <w:r w:rsidRPr="008C17F1">
        <w:t xml:space="preserve"> </w:t>
      </w:r>
      <w:r w:rsidRPr="000D488A">
        <w:t>Rete</w:t>
      </w:r>
      <w:r>
        <w:t xml:space="preserve"> </w:t>
      </w:r>
      <w:r w:rsidRPr="000D488A">
        <w:t>Ferroviaria Italiana S.p.A</w:t>
      </w:r>
      <w:r w:rsidR="000F4220">
        <w:t xml:space="preserve"> è </w:t>
      </w:r>
      <w:r w:rsidR="005E2595">
        <w:t>carente di requisito soggettivo</w:t>
      </w:r>
      <w:r w:rsidR="000F4220">
        <w:t>.</w:t>
      </w:r>
      <w:r>
        <w:t xml:space="preserve"> </w:t>
      </w:r>
    </w:p>
    <w:p w14:paraId="28B039E2" w14:textId="1A6224FB" w:rsidR="000F4220" w:rsidRDefault="008C17F1" w:rsidP="000D488A">
      <w:pPr>
        <w:jc w:val="both"/>
      </w:pPr>
      <w:r>
        <w:t xml:space="preserve">Vediamo di seguito i dettagli della controversia per </w:t>
      </w:r>
      <w:r w:rsidR="005E2595">
        <w:t>apprezzare meglio</w:t>
      </w:r>
      <w:r>
        <w:t xml:space="preserve"> la portata di questa pronuncia a cui potremo fare riferimento in svariate situazioni che </w:t>
      </w:r>
      <w:r w:rsidR="005E2595">
        <w:t xml:space="preserve">quotidianamente </w:t>
      </w:r>
      <w:r>
        <w:t>coinvolgono occupazioni realizzate da società e aziende a capitale pubblico.</w:t>
      </w:r>
    </w:p>
    <w:p w14:paraId="2A18FD1F" w14:textId="0B4CBE99" w:rsidR="000F4220" w:rsidRDefault="005E2595" w:rsidP="000D488A">
      <w:pPr>
        <w:jc w:val="both"/>
      </w:pPr>
      <w:r>
        <w:t>Nel caso in parola, i</w:t>
      </w:r>
      <w:r w:rsidR="000F4220">
        <w:t xml:space="preserve">l Comune rilasciava </w:t>
      </w:r>
      <w:r w:rsidR="000F4220" w:rsidRPr="000F4220">
        <w:t xml:space="preserve">autorizzazione </w:t>
      </w:r>
      <w:r w:rsidR="000F4220">
        <w:t xml:space="preserve">temporanea </w:t>
      </w:r>
      <w:r w:rsidR="000F4220" w:rsidRPr="000F4220">
        <w:t xml:space="preserve">all’occupazione di suolo pubblico per </w:t>
      </w:r>
      <w:r w:rsidR="000D488A">
        <w:t xml:space="preserve">un </w:t>
      </w:r>
      <w:r w:rsidR="000D488A" w:rsidRPr="000F4220">
        <w:t>periodo</w:t>
      </w:r>
      <w:r w:rsidR="000D488A">
        <w:t xml:space="preserve"> iniziale</w:t>
      </w:r>
      <w:r w:rsidR="000F4220" w:rsidRPr="000F4220">
        <w:t xml:space="preserve"> </w:t>
      </w:r>
      <w:r w:rsidR="000F4220">
        <w:t>di circa 4 mesi</w:t>
      </w:r>
      <w:r w:rsidR="000D488A">
        <w:t>, poi prorogato,</w:t>
      </w:r>
      <w:r w:rsidR="000F4220" w:rsidRPr="000F4220">
        <w:t xml:space="preserve"> ai fini dell’esecuzione dei lavori di</w:t>
      </w:r>
      <w:r w:rsidR="000F4220">
        <w:t xml:space="preserve"> </w:t>
      </w:r>
      <w:r w:rsidR="000F4220" w:rsidRPr="000F4220">
        <w:t xml:space="preserve">elettrificazione </w:t>
      </w:r>
      <w:r w:rsidR="000F4220">
        <w:t>di una</w:t>
      </w:r>
      <w:r w:rsidR="000F4220" w:rsidRPr="000F4220">
        <w:t xml:space="preserve"> tratta ferroviaria </w:t>
      </w:r>
      <w:r w:rsidR="000F4220">
        <w:t>che collega il Piemonte e la Valle d’Aosta, prevedendone</w:t>
      </w:r>
      <w:r w:rsidR="000D488A">
        <w:t>, al momento del rilascio,</w:t>
      </w:r>
      <w:r w:rsidR="000F4220">
        <w:t xml:space="preserve"> il pagamento del Canone così come disciplinato dal proprio regolamento e nella misura </w:t>
      </w:r>
      <w:r w:rsidR="000D488A">
        <w:t>calcolata in base alle tariffe giornaliere deliberate per le occupazioni temporanee effettuate nel corso del 2024.</w:t>
      </w:r>
    </w:p>
    <w:p w14:paraId="7C396544" w14:textId="21B531F2" w:rsidR="000D488A" w:rsidRDefault="000D488A" w:rsidP="000D488A">
      <w:pPr>
        <w:jc w:val="both"/>
      </w:pPr>
      <w:r>
        <w:t>RFI</w:t>
      </w:r>
      <w:r w:rsidR="008C17F1">
        <w:t xml:space="preserve"> </w:t>
      </w:r>
      <w:r>
        <w:t xml:space="preserve">proponeva ricorso </w:t>
      </w:r>
      <w:r w:rsidRPr="000D488A">
        <w:t>avverso la predetta autorizzazione nella parte in cui ha assoggettato l’occupazione al</w:t>
      </w:r>
      <w:r>
        <w:t xml:space="preserve"> </w:t>
      </w:r>
      <w:r w:rsidRPr="000D488A">
        <w:t>pagamento del canone unico</w:t>
      </w:r>
      <w:r w:rsidRPr="000D488A">
        <w:rPr>
          <w:b/>
          <w:bCs/>
        </w:rPr>
        <w:t xml:space="preserve"> </w:t>
      </w:r>
      <w:r w:rsidRPr="000D488A">
        <w:t>patrimoniale, lamentando che il Comune avrebbe illegittimamente non contemplato</w:t>
      </w:r>
      <w:r>
        <w:t xml:space="preserve"> </w:t>
      </w:r>
      <w:r w:rsidRPr="000D488A">
        <w:t>le esenzioni previste dalla disciplina statale di riferimento e che sarebbero state</w:t>
      </w:r>
      <w:r>
        <w:t xml:space="preserve"> </w:t>
      </w:r>
      <w:r w:rsidRPr="000D488A">
        <w:t>applicabili all’occupazione in questione.</w:t>
      </w:r>
    </w:p>
    <w:p w14:paraId="14525F75" w14:textId="16C4CF39" w:rsidR="000D488A" w:rsidRDefault="000D488A" w:rsidP="000D488A">
      <w:pPr>
        <w:jc w:val="both"/>
      </w:pPr>
      <w:r>
        <w:t xml:space="preserve">RFI </w:t>
      </w:r>
      <w:r w:rsidR="0099383A">
        <w:t xml:space="preserve">infatti </w:t>
      </w:r>
      <w:r>
        <w:t xml:space="preserve">sosteneva che nella realizzazione dell’occupazione per la quale il Comune ha richiesto il pagamento, </w:t>
      </w:r>
      <w:r w:rsidR="0099383A">
        <w:t>ha agito</w:t>
      </w:r>
      <w:r w:rsidRPr="000D488A">
        <w:t xml:space="preserve"> come organo indiretto</w:t>
      </w:r>
      <w:r w:rsidR="0099383A">
        <w:t xml:space="preserve"> </w:t>
      </w:r>
      <w:r w:rsidRPr="000D488A">
        <w:t>dello Stato nella realizzazione e manutenzione della rete infrastrutturale</w:t>
      </w:r>
      <w:r w:rsidR="0099383A">
        <w:t xml:space="preserve"> </w:t>
      </w:r>
      <w:r w:rsidRPr="000D488A">
        <w:t>ferroviaria nazionale e che peraltro, nel caso di specie, l’occupazione sarebbe</w:t>
      </w:r>
      <w:r w:rsidR="0099383A">
        <w:t xml:space="preserve"> </w:t>
      </w:r>
      <w:r w:rsidRPr="000D488A">
        <w:t>avvenuta per eseguire un intervento di rilevante interesse nazionale inserito nel</w:t>
      </w:r>
      <w:r w:rsidR="0099383A">
        <w:t xml:space="preserve"> </w:t>
      </w:r>
      <w:r w:rsidRPr="000D488A">
        <w:t>PNRR</w:t>
      </w:r>
      <w:r w:rsidR="0099383A">
        <w:t>.</w:t>
      </w:r>
    </w:p>
    <w:p w14:paraId="66B09598" w14:textId="02A0B661" w:rsidR="003F61DD" w:rsidRDefault="003F61DD" w:rsidP="003F61DD">
      <w:pPr>
        <w:jc w:val="both"/>
      </w:pPr>
      <w:r>
        <w:t xml:space="preserve">Il motivo del contendere verte </w:t>
      </w:r>
      <w:r w:rsidR="005E2595">
        <w:t>essenzialmente</w:t>
      </w:r>
      <w:r>
        <w:t xml:space="preserve"> sulla portata del comma 833, art. 1 della Legge 160/2019 che individua diverse ipotesi di esenzioni dal pagamento del canone, tra le quali, per quanto qui di interesse, quella di cui alla lett. a, </w:t>
      </w:r>
      <w:r w:rsidR="005E2595">
        <w:t>in base alla</w:t>
      </w:r>
      <w:r>
        <w:t xml:space="preserve"> quale sono esenti </w:t>
      </w:r>
      <w:r w:rsidRPr="003F61DD">
        <w:rPr>
          <w:i/>
          <w:iCs/>
        </w:rPr>
        <w:t>“le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p>
    <w:p w14:paraId="25960F3C" w14:textId="087056EA" w:rsidR="003F61DD" w:rsidRDefault="003F61DD" w:rsidP="003F61DD">
      <w:pPr>
        <w:jc w:val="both"/>
      </w:pPr>
      <w:r>
        <w:t xml:space="preserve">Trattasi di un’esenzione identica a quella già prevista per la TOSAP dall’art. 49 del D. Lgs. 507/1993, che </w:t>
      </w:r>
      <w:r w:rsidR="005E2595">
        <w:t xml:space="preserve">i </w:t>
      </w:r>
      <w:r>
        <w:t xml:space="preserve">regolamenti comunali e provinciali hanno </w:t>
      </w:r>
      <w:r w:rsidR="005E2595">
        <w:t xml:space="preserve">chiaramente </w:t>
      </w:r>
      <w:r>
        <w:t>mantenuto anche a seguito dell’istituzione del CUP.</w:t>
      </w:r>
    </w:p>
    <w:p w14:paraId="4DC4FEB1" w14:textId="72DAF13F" w:rsidR="003F61DD" w:rsidRDefault="005E2595" w:rsidP="003F61DD">
      <w:pPr>
        <w:jc w:val="both"/>
      </w:pPr>
      <w:r>
        <w:t>Nelle motivazioni della sentenza, i</w:t>
      </w:r>
      <w:r w:rsidR="003F61DD">
        <w:t xml:space="preserve"> giudici del TAR Piemonte ricordano come: </w:t>
      </w:r>
      <w:r w:rsidR="003F61DD" w:rsidRPr="003F61DD">
        <w:rPr>
          <w:i/>
          <w:iCs/>
        </w:rPr>
        <w:t>“le norme di agevolazione o esenzione costituiscano una deroga sostanziale al principio generale posto dalla legge ordinaria, cosicché non trovano applicazione al di fuori delle ipotesi specificamente e tassativamente indicate, atteso il divieto di interpretazione analogica ed estensiva (cfr., proprio relativamente all’esenzione di cui all’art. 1, comma 833, lett. a, della L. 160/2019, Cons. Stato, Sez. VII, 27/11/2024, n. 9553).”</w:t>
      </w:r>
    </w:p>
    <w:p w14:paraId="692199A1" w14:textId="77777777" w:rsidR="00676857" w:rsidRDefault="00676857" w:rsidP="00676857">
      <w:pPr>
        <w:jc w:val="both"/>
      </w:pPr>
      <w:r>
        <w:lastRenderedPageBreak/>
        <w:t>Sul principio che vede le esenzione di entrate, sia tributarie che patrimoniali, come ipotesi di natura eccezionale, la cui osservanza deve essere di stretta interpretazione, registriamo l’orientamento della Corte di Cassazione che si è più volte espressa, anche recentemente con l’ordinanza n. 17976 del 12 luglio 2021, precisando proprio il principio secondo cui le norme fiscali di agevolazione devono essere di stretta interpretazione e non possono trovare estensione a casi in cui non si riscontrino i requisiti soggettivi oppure quelli oggettivi previsti dalla norma di agevolazione stessa.</w:t>
      </w:r>
    </w:p>
    <w:p w14:paraId="30158805" w14:textId="0FB2B2B1" w:rsidR="000D488A" w:rsidRDefault="00676857" w:rsidP="00676857">
      <w:pPr>
        <w:jc w:val="both"/>
        <w:rPr>
          <w:i/>
          <w:iCs/>
        </w:rPr>
      </w:pPr>
      <w:r>
        <w:t>Ma vi è di più, la Corte dei Conti, proprio della sezione del Piemonte, precisa come non giochi a favore del soggetto occupante che l’occupazione sia riconducibile all’esecuzione di un lavoro per conto di uno dei soggetti destinatari dell’agevolazione fiscale. Sono diverse le sentenze orientate in questo senso, come quella emessa dalla Sezione 5 di Corte di Cassazione, nell’ordinanza n. 2653 del 2020 nella quale si legge che: “</w:t>
      </w:r>
      <w:r w:rsidRPr="00676857">
        <w:rPr>
          <w:i/>
          <w:iCs/>
        </w:rPr>
        <w:t>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p>
    <w:p w14:paraId="41515256" w14:textId="003728AF" w:rsidR="000441A7" w:rsidRDefault="000441A7" w:rsidP="000441A7">
      <w:pPr>
        <w:jc w:val="both"/>
      </w:pPr>
      <w:r>
        <w:t>La stretta interpretazione del riferimento allo “Stato” non può, pertanto, che condurre a limitare l’operatività dell’esenzione alle occupazioni effettuate dallo “Stato-persona”, in linea con la consolidata giurisprudenza già pronunciatasi su altre ipotesi di esenzioni fiscali riconosciute allo “Stato” che, come detto, condividono la medesima natura eccezionale dell’esenzione qui in esame.</w:t>
      </w:r>
    </w:p>
    <w:p w14:paraId="08F63A35" w14:textId="51CFE744" w:rsidR="000441A7" w:rsidRDefault="000441A7" w:rsidP="000441A7">
      <w:pPr>
        <w:jc w:val="both"/>
      </w:pPr>
      <w:r>
        <w:t>Il riconoscimento dell’esenzione a soggetti diversi dallo “Stato-persona” attraverso una loro pretesa assimilazione allo Stato finirebbe inevitabilmente per portare ad una interpretazione analogica ed estensiva di una norma eccezionale, in contrasto con il disposto di cui all’art. 14 delle preleggi del codice civile.</w:t>
      </w:r>
    </w:p>
    <w:p w14:paraId="1A8B207E" w14:textId="4E388820" w:rsidR="000441A7" w:rsidRDefault="000441A7" w:rsidP="000441A7">
      <w:pPr>
        <w:jc w:val="both"/>
        <w:rPr>
          <w:i/>
          <w:iCs/>
        </w:rPr>
      </w:pPr>
      <w:r>
        <w:t xml:space="preserve">In ragione di ciò, </w:t>
      </w:r>
      <w:r w:rsidR="003907DC">
        <w:t xml:space="preserve">scrivono i giudici piemontesi: </w:t>
      </w:r>
      <w:r w:rsidR="003907DC" w:rsidRPr="003907DC">
        <w:rPr>
          <w:i/>
          <w:iCs/>
        </w:rPr>
        <w:t>“</w:t>
      </w:r>
      <w:r w:rsidRPr="003907DC">
        <w:rPr>
          <w:i/>
          <w:iCs/>
        </w:rPr>
        <w:t>la giurisprudenza civile (cfr., ex multis, Cass. civ., Sez. V,</w:t>
      </w:r>
      <w:r w:rsidR="003907DC" w:rsidRPr="003907DC">
        <w:rPr>
          <w:i/>
          <w:iCs/>
        </w:rPr>
        <w:t xml:space="preserve"> </w:t>
      </w:r>
      <w:r w:rsidRPr="003907DC">
        <w:rPr>
          <w:i/>
          <w:iCs/>
        </w:rPr>
        <w:t>05/11/2021, n. 31950; Cass. civ., Sez. V, 13/08/2020, n. 17034) ha</w:t>
      </w:r>
      <w:r w:rsidR="003907DC" w:rsidRPr="003907DC">
        <w:rPr>
          <w:i/>
          <w:iCs/>
        </w:rPr>
        <w:t xml:space="preserve"> </w:t>
      </w:r>
      <w:r w:rsidRPr="003907DC">
        <w:rPr>
          <w:i/>
          <w:iCs/>
        </w:rPr>
        <w:t>condivisibilmente escluso che RFI possa farsi rientrare nella nozione di</w:t>
      </w:r>
      <w:r w:rsidR="003907DC" w:rsidRPr="003907DC">
        <w:rPr>
          <w:i/>
          <w:iCs/>
        </w:rPr>
        <w:t xml:space="preserve"> </w:t>
      </w:r>
      <w:r w:rsidRPr="003907DC">
        <w:rPr>
          <w:i/>
          <w:iCs/>
        </w:rPr>
        <w:t>“Stato” che rileva ai fini dell’applicazione delle esenzioni fiscali riconosciute a</w:t>
      </w:r>
      <w:r w:rsidR="003907DC" w:rsidRPr="003907DC">
        <w:rPr>
          <w:i/>
          <w:iCs/>
        </w:rPr>
        <w:t xml:space="preserve"> </w:t>
      </w:r>
      <w:r w:rsidRPr="003907DC">
        <w:rPr>
          <w:i/>
          <w:iCs/>
        </w:rPr>
        <w:t>quest’ultimo.</w:t>
      </w:r>
      <w:r w:rsidR="003907DC" w:rsidRPr="003907DC">
        <w:rPr>
          <w:i/>
          <w:iCs/>
        </w:rPr>
        <w:t xml:space="preserve"> </w:t>
      </w:r>
      <w:r w:rsidRPr="003907DC">
        <w:rPr>
          <w:i/>
          <w:iCs/>
        </w:rPr>
        <w:t>RFI è, infatti, la società che gestisce l’infrastruttura ferroviaria nazionale ai</w:t>
      </w:r>
      <w:r w:rsidR="003907DC" w:rsidRPr="003907DC">
        <w:rPr>
          <w:i/>
          <w:iCs/>
        </w:rPr>
        <w:t xml:space="preserve"> </w:t>
      </w:r>
      <w:r w:rsidRPr="003907DC">
        <w:rPr>
          <w:i/>
          <w:iCs/>
        </w:rPr>
        <w:t>sensi dell’art. 15 del D. Lgs. 112/2015 sulla base dell’atto di concessione</w:t>
      </w:r>
      <w:r w:rsidR="003907DC" w:rsidRPr="003907DC">
        <w:rPr>
          <w:i/>
          <w:iCs/>
        </w:rPr>
        <w:t xml:space="preserve"> </w:t>
      </w:r>
      <w:r w:rsidRPr="003907DC">
        <w:rPr>
          <w:i/>
          <w:iCs/>
        </w:rPr>
        <w:t>rilasciato dal Ministero dei Trasporti con D.M. n. 138T del 31.10.2000 e s.m.i.</w:t>
      </w:r>
      <w:r w:rsidR="003907DC" w:rsidRPr="003907DC">
        <w:rPr>
          <w:i/>
          <w:iCs/>
        </w:rPr>
        <w:t xml:space="preserve"> </w:t>
      </w:r>
      <w:r w:rsidRPr="003907DC">
        <w:rPr>
          <w:i/>
          <w:iCs/>
        </w:rPr>
        <w:t>a Ferrovie dello Stato S.p.a. che la partecipa al 100% e che, a sua volta, è</w:t>
      </w:r>
      <w:r w:rsidR="003907DC" w:rsidRPr="003907DC">
        <w:rPr>
          <w:i/>
          <w:iCs/>
        </w:rPr>
        <w:t xml:space="preserve"> </w:t>
      </w:r>
      <w:r w:rsidRPr="003907DC">
        <w:rPr>
          <w:i/>
          <w:iCs/>
        </w:rPr>
        <w:t>interamente partecipata dal Ministero dell’Economia e delle Finanze. A</w:t>
      </w:r>
      <w:r w:rsidR="003907DC" w:rsidRPr="003907DC">
        <w:rPr>
          <w:i/>
          <w:iCs/>
        </w:rPr>
        <w:t xml:space="preserve"> </w:t>
      </w:r>
      <w:r w:rsidRPr="003907DC">
        <w:rPr>
          <w:i/>
          <w:iCs/>
        </w:rPr>
        <w:t>seguito del processo di progressiva riorganizzazione del gruppo, Ferrovie</w:t>
      </w:r>
      <w:r w:rsidR="003907DC" w:rsidRPr="003907DC">
        <w:rPr>
          <w:i/>
          <w:iCs/>
        </w:rPr>
        <w:t xml:space="preserve"> </w:t>
      </w:r>
      <w:r w:rsidRPr="003907DC">
        <w:rPr>
          <w:i/>
          <w:iCs/>
        </w:rPr>
        <w:t>dello Stato S.p.a. ha assunto l’attuale configurazione di holding che controlla le</w:t>
      </w:r>
      <w:r w:rsidR="003907DC" w:rsidRPr="003907DC">
        <w:rPr>
          <w:i/>
          <w:iCs/>
        </w:rPr>
        <w:t xml:space="preserve"> </w:t>
      </w:r>
      <w:r w:rsidRPr="003907DC">
        <w:rPr>
          <w:i/>
          <w:iCs/>
        </w:rPr>
        <w:t>varie società operative, tra cui appunto RFI, svolgendo un'attività economica e</w:t>
      </w:r>
      <w:r w:rsidR="003907DC" w:rsidRPr="003907DC">
        <w:rPr>
          <w:i/>
          <w:iCs/>
        </w:rPr>
        <w:t xml:space="preserve"> </w:t>
      </w:r>
      <w:r w:rsidRPr="003907DC">
        <w:rPr>
          <w:i/>
          <w:iCs/>
        </w:rPr>
        <w:t>commerciale in regime di mercato libero, con autonomia giuridica e</w:t>
      </w:r>
      <w:r w:rsidR="003907DC" w:rsidRPr="003907DC">
        <w:rPr>
          <w:i/>
          <w:iCs/>
        </w:rPr>
        <w:t xml:space="preserve"> </w:t>
      </w:r>
      <w:r w:rsidRPr="003907DC">
        <w:rPr>
          <w:i/>
          <w:iCs/>
        </w:rPr>
        <w:t>patrimoniale rispetto al socio pubblico, attraverso un’organizzazione societaria</w:t>
      </w:r>
      <w:r w:rsidR="003907DC" w:rsidRPr="003907DC">
        <w:rPr>
          <w:i/>
          <w:iCs/>
        </w:rPr>
        <w:t xml:space="preserve"> </w:t>
      </w:r>
      <w:r w:rsidRPr="003907DC">
        <w:rPr>
          <w:i/>
          <w:iCs/>
        </w:rPr>
        <w:t>di stampo civilistico che ne definisce la natura privata a prescindere dal fatto</w:t>
      </w:r>
      <w:r w:rsidR="003907DC" w:rsidRPr="003907DC">
        <w:rPr>
          <w:i/>
          <w:iCs/>
        </w:rPr>
        <w:t xml:space="preserve"> </w:t>
      </w:r>
      <w:r w:rsidRPr="003907DC">
        <w:rPr>
          <w:i/>
          <w:iCs/>
        </w:rPr>
        <w:t>che sia partecipata da un soggetto pubblico. A loro volta, le società operative</w:t>
      </w:r>
      <w:r w:rsidR="003907DC" w:rsidRPr="003907DC">
        <w:rPr>
          <w:i/>
          <w:iCs/>
        </w:rPr>
        <w:t xml:space="preserve"> </w:t>
      </w:r>
      <w:r w:rsidRPr="003907DC">
        <w:rPr>
          <w:i/>
          <w:iCs/>
        </w:rPr>
        <w:t>sono dotate di una propria specificità aziendale e godono di autonomia</w:t>
      </w:r>
      <w:r w:rsidR="003907DC" w:rsidRPr="003907DC">
        <w:rPr>
          <w:i/>
          <w:iCs/>
        </w:rPr>
        <w:t xml:space="preserve"> </w:t>
      </w:r>
      <w:r w:rsidRPr="003907DC">
        <w:rPr>
          <w:i/>
          <w:iCs/>
        </w:rPr>
        <w:t>gestionale nel perseguimento degli obiettivi di business, pur all’interno di una</w:t>
      </w:r>
      <w:r w:rsidR="003907DC" w:rsidRPr="003907DC">
        <w:rPr>
          <w:i/>
          <w:iCs/>
        </w:rPr>
        <w:t xml:space="preserve"> </w:t>
      </w:r>
      <w:r w:rsidRPr="003907DC">
        <w:rPr>
          <w:i/>
          <w:iCs/>
        </w:rPr>
        <w:t>politica unitaria del gruppo tesa ad uno sviluppo industriale e commerciale in</w:t>
      </w:r>
      <w:r w:rsidR="003907DC" w:rsidRPr="003907DC">
        <w:rPr>
          <w:i/>
          <w:iCs/>
        </w:rPr>
        <w:t xml:space="preserve"> </w:t>
      </w:r>
      <w:r w:rsidRPr="003907DC">
        <w:rPr>
          <w:i/>
          <w:iCs/>
        </w:rPr>
        <w:t>ambito comunitario ed internazionale che sia competitivo e sostenibile</w:t>
      </w:r>
      <w:r w:rsidR="003907DC" w:rsidRPr="003907DC">
        <w:rPr>
          <w:i/>
          <w:iCs/>
        </w:rPr>
        <w:t xml:space="preserve"> </w:t>
      </w:r>
      <w:r w:rsidRPr="003907DC">
        <w:rPr>
          <w:i/>
          <w:iCs/>
        </w:rPr>
        <w:t>sebbene orientato al perseguimento di interessi generali.</w:t>
      </w:r>
      <w:r w:rsidR="003907DC" w:rsidRPr="003907DC">
        <w:rPr>
          <w:i/>
          <w:iCs/>
        </w:rPr>
        <w:t>”</w:t>
      </w:r>
    </w:p>
    <w:p w14:paraId="34F48ABC" w14:textId="5AD4AB42" w:rsidR="003907DC" w:rsidRDefault="003907DC" w:rsidP="003907DC">
      <w:pPr>
        <w:jc w:val="both"/>
      </w:pPr>
      <w:r>
        <w:t>RFI</w:t>
      </w:r>
      <w:r w:rsidRPr="003907DC">
        <w:t>, nonostante gestisca l’infrastruttura ferroviaria nazionale sulla</w:t>
      </w:r>
      <w:r>
        <w:t xml:space="preserve"> </w:t>
      </w:r>
      <w:r w:rsidRPr="003907DC">
        <w:t>base di un rapporto concessorio da parte dello Stato, non agisce attraverso</w:t>
      </w:r>
      <w:r>
        <w:t xml:space="preserve"> </w:t>
      </w:r>
      <w:r w:rsidRPr="003907DC">
        <w:t>poteri o funzioni di stampo amministrativo riferibili a quest’ultimo, ma opera</w:t>
      </w:r>
      <w:r>
        <w:t xml:space="preserve"> </w:t>
      </w:r>
      <w:r w:rsidRPr="003907DC">
        <w:t>in regime d’impresa con le forme e gli strumenti tipici dell’attività economica</w:t>
      </w:r>
      <w:r>
        <w:t xml:space="preserve"> </w:t>
      </w:r>
      <w:r w:rsidRPr="003907DC">
        <w:t>privata</w:t>
      </w:r>
      <w:r>
        <w:t xml:space="preserve">. Ergo non potrà godere della </w:t>
      </w:r>
      <w:r w:rsidR="002E792D">
        <w:t>speciale</w:t>
      </w:r>
      <w:r>
        <w:t xml:space="preserve"> esenzione disposta in materia di CUP dalla lettera a) comma 833 articolo 1 Legge 160/2019.</w:t>
      </w:r>
    </w:p>
    <w:p w14:paraId="13E8A4FE" w14:textId="59DCA624" w:rsidR="003907DC" w:rsidRDefault="003907DC" w:rsidP="003907DC">
      <w:pPr>
        <w:jc w:val="both"/>
      </w:pPr>
      <w:r>
        <w:t xml:space="preserve">A ben vedere questa sentenza, diventa oltremodo interessante perché </w:t>
      </w:r>
      <w:r w:rsidR="002E792D">
        <w:t>riconduce</w:t>
      </w:r>
      <w:r>
        <w:t xml:space="preserve"> al rispetto di principi di carattere generale che potremo riutilizzare in tutte quelle situazioni caratterizzate dalla presenza di soggetti </w:t>
      </w:r>
      <w:r>
        <w:lastRenderedPageBreak/>
        <w:t xml:space="preserve">passivi individuati in aziende pubbliche, società municipalizzate e multi-utility che erogano nel nostro </w:t>
      </w:r>
      <w:r w:rsidR="002E792D">
        <w:t xml:space="preserve">Paese i </w:t>
      </w:r>
      <w:r>
        <w:t xml:space="preserve"> servizi pubblici.</w:t>
      </w:r>
    </w:p>
    <w:p w14:paraId="12EE0783" w14:textId="2F9F10DC" w:rsidR="003907DC" w:rsidRDefault="002E792D" w:rsidP="003907DC">
      <w:pPr>
        <w:jc w:val="both"/>
        <w:rPr>
          <w:i/>
          <w:iCs/>
        </w:rPr>
      </w:pPr>
      <w:r>
        <w:t>Viene precisato</w:t>
      </w:r>
      <w:r w:rsidR="003907DC">
        <w:t xml:space="preserve"> infatti nella sentenza: “</w:t>
      </w:r>
      <w:r w:rsidR="003907DC" w:rsidRPr="003907DC">
        <w:rPr>
          <w:i/>
          <w:iCs/>
        </w:rPr>
        <w:t>D’altra parte, la scelta di attribuire la gestione della rete ad un ente privato risponde precipuamente alla finalità di assicurare, attraverso l'esternalizzazione, un'efficiente gestione del servizio, per aumentarne le potenzialità produttive e incrementare il tasso di soddisfacimento della collettività, ricorrendo ad un modello societario teso comunque a generare un profitto (cfr. art. 11 quater del D. Lgs. 112/2015) ed a garantire, quantomeno,</w:t>
      </w:r>
      <w:r>
        <w:rPr>
          <w:i/>
          <w:iCs/>
        </w:rPr>
        <w:t xml:space="preserve"> </w:t>
      </w:r>
      <w:r w:rsidR="003907DC" w:rsidRPr="003907DC">
        <w:rPr>
          <w:i/>
          <w:iCs/>
        </w:rPr>
        <w:t>l’equilibrio finanziario e contabile della gestione dell’infrastruttura ferroviaria”</w:t>
      </w:r>
      <w:r w:rsidR="003907DC">
        <w:rPr>
          <w:i/>
          <w:iCs/>
        </w:rPr>
        <w:t>.</w:t>
      </w:r>
    </w:p>
    <w:p w14:paraId="5332DC80" w14:textId="6C756402" w:rsidR="003907DC" w:rsidRDefault="003907DC" w:rsidP="00625747">
      <w:pPr>
        <w:jc w:val="both"/>
      </w:pPr>
      <w:r>
        <w:t xml:space="preserve">Nelle motivazioni della sentenza viene poi precisato come non incida sul pagamento del canone a carico di RFI la circostanza che </w:t>
      </w:r>
      <w:r w:rsidR="00625747">
        <w:t>l’opera, per</w:t>
      </w:r>
      <w:r>
        <w:t xml:space="preserve"> la </w:t>
      </w:r>
      <w:r w:rsidR="00625747">
        <w:t xml:space="preserve">realizzazione della </w:t>
      </w:r>
      <w:r>
        <w:t>quale è stato richiesto di occupare il suolo comunale</w:t>
      </w:r>
      <w:r w:rsidR="00625747">
        <w:t xml:space="preserve">, sia di proprietà dello Stato </w:t>
      </w:r>
      <w:r w:rsidR="00625747" w:rsidRPr="00625747">
        <w:t>perché, ai fini</w:t>
      </w:r>
      <w:r w:rsidR="00625747">
        <w:t xml:space="preserve"> </w:t>
      </w:r>
      <w:r w:rsidR="00625747" w:rsidRPr="00625747">
        <w:t>dell’applicabilità del canone, è decisivo il fatto che l’occupazione sia effettuata</w:t>
      </w:r>
      <w:r w:rsidR="00625747">
        <w:t xml:space="preserve"> </w:t>
      </w:r>
      <w:r w:rsidR="00625747" w:rsidRPr="00625747">
        <w:t>dalla società concessionaria nell’esercizio della propria attività imprenditoriale</w:t>
      </w:r>
      <w:r w:rsidR="00625747">
        <w:t xml:space="preserve"> </w:t>
      </w:r>
      <w:r w:rsidR="00625747" w:rsidRPr="00625747">
        <w:t>e non dallo Stato concedente</w:t>
      </w:r>
      <w:r w:rsidR="00625747">
        <w:t xml:space="preserve">. Esattamente secondo lo stesso principio adottato dalla Corte di Cassazione sulle vertenze riguardanti le occupazioni di soprassuolo realizzate </w:t>
      </w:r>
      <w:r w:rsidR="002E792D">
        <w:t xml:space="preserve">con i viadotti </w:t>
      </w:r>
      <w:r w:rsidR="00625747">
        <w:t>dalle società che gestiscono i tratti autostradali.</w:t>
      </w:r>
    </w:p>
    <w:p w14:paraId="55B180E2" w14:textId="16B00205" w:rsidR="00625747" w:rsidRDefault="00625747" w:rsidP="00625747">
      <w:pPr>
        <w:jc w:val="both"/>
      </w:pPr>
      <w:r>
        <w:t xml:space="preserve">Infine viene analizzata la possibile applicazione dell’esenzione disposta dall’ultracentenario Regio Decreto </w:t>
      </w:r>
      <w:r w:rsidRPr="00625747">
        <w:t>1447</w:t>
      </w:r>
      <w:r>
        <w:t xml:space="preserve"> del </w:t>
      </w:r>
      <w:r w:rsidRPr="00625747">
        <w:t>1912 che</w:t>
      </w:r>
      <w:r>
        <w:t xml:space="preserve"> </w:t>
      </w:r>
      <w:r w:rsidRPr="00625747">
        <w:t>esenterebbe</w:t>
      </w:r>
      <w:r>
        <w:t xml:space="preserve"> ai sensi dell’articolo 59 e 60,</w:t>
      </w:r>
      <w:r w:rsidRPr="00625747">
        <w:t xml:space="preserve"> l’occupazione di aree pubbliche finalizzata alla costruzione,</w:t>
      </w:r>
      <w:r>
        <w:t xml:space="preserve"> </w:t>
      </w:r>
      <w:r w:rsidRPr="00625747">
        <w:t>manutenzione o potenziamento della linea ferroviaria dal pagamento di</w:t>
      </w:r>
      <w:r>
        <w:t xml:space="preserve"> </w:t>
      </w:r>
      <w:r w:rsidRPr="00625747">
        <w:t>qualunque tributo o corrispettivo</w:t>
      </w:r>
      <w:r>
        <w:t>.</w:t>
      </w:r>
    </w:p>
    <w:p w14:paraId="0492911B" w14:textId="1A73835A" w:rsidR="002E792D" w:rsidRPr="003907DC" w:rsidRDefault="00625747" w:rsidP="00625747">
      <w:pPr>
        <w:jc w:val="both"/>
      </w:pPr>
      <w:r>
        <w:t>I giudici del TAR Piemonte, ritengono esclusa</w:t>
      </w:r>
      <w:r w:rsidR="002E792D">
        <w:t xml:space="preserve"> anche </w:t>
      </w:r>
      <w:r>
        <w:t xml:space="preserve">l’applicazione di questa normativa speciale la cui lettura </w:t>
      </w:r>
      <w:r w:rsidRPr="00625747">
        <w:t xml:space="preserve">deve essere </w:t>
      </w:r>
      <w:r w:rsidR="002E792D">
        <w:t>anch’essa o</w:t>
      </w:r>
      <w:r w:rsidRPr="00625747">
        <w:t>ggetto di stretta</w:t>
      </w:r>
      <w:r>
        <w:t xml:space="preserve"> </w:t>
      </w:r>
      <w:r w:rsidRPr="00625747">
        <w:t>interpretazione</w:t>
      </w:r>
      <w:r>
        <w:t xml:space="preserve"> e non potrà di conseguenza incidere sulle esenzioni disposte in materia di Canone Unico. T</w:t>
      </w:r>
      <w:r w:rsidRPr="00625747">
        <w:t xml:space="preserve">ale norma </w:t>
      </w:r>
      <w:r>
        <w:t xml:space="preserve">infatti </w:t>
      </w:r>
      <w:r w:rsidRPr="00625747">
        <w:t>fa riferimento all’occupazione di beni</w:t>
      </w:r>
      <w:r>
        <w:t xml:space="preserve"> </w:t>
      </w:r>
      <w:r w:rsidRPr="00625747">
        <w:t xml:space="preserve">che rientrano nel </w:t>
      </w:r>
      <w:r w:rsidR="007C432D">
        <w:t>“</w:t>
      </w:r>
      <w:r w:rsidRPr="00625747">
        <w:t>demanio idrico</w:t>
      </w:r>
      <w:r w:rsidR="007C432D">
        <w:t>”</w:t>
      </w:r>
      <w:r w:rsidRPr="00625747">
        <w:t xml:space="preserve"> (fluviale, lacuale o marittimo), cui</w:t>
      </w:r>
      <w:r>
        <w:t xml:space="preserve"> </w:t>
      </w:r>
      <w:r w:rsidRPr="00625747">
        <w:t>chiaramente non può essere ricondotta una strada o una piazza comunale</w:t>
      </w:r>
      <w:r>
        <w:t xml:space="preserve"> e </w:t>
      </w:r>
      <w:r w:rsidR="007C432D">
        <w:t xml:space="preserve">a </w:t>
      </w:r>
      <w:r w:rsidR="007C432D" w:rsidRPr="007C432D">
        <w:t xml:space="preserve">qualunque altro </w:t>
      </w:r>
      <w:r w:rsidR="007C432D">
        <w:t>“</w:t>
      </w:r>
      <w:r w:rsidR="007C432D" w:rsidRPr="007C432D">
        <w:t>terreno improduttivo</w:t>
      </w:r>
      <w:r w:rsidR="007C432D">
        <w:t>” escludendo anche in questo caso strade e piazze comunali. Infine la norma parla di demanio appartenente allo Stato mentre nel caso di parola si parla di demanio comunale.</w:t>
      </w:r>
    </w:p>
    <w:p w14:paraId="2CC22C0F" w14:textId="490D5431" w:rsidR="003907DC" w:rsidRPr="003907DC" w:rsidRDefault="003907DC" w:rsidP="003907DC">
      <w:pPr>
        <w:jc w:val="both"/>
      </w:pPr>
    </w:p>
    <w:sectPr w:rsidR="003907DC" w:rsidRPr="003907D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86"/>
    <w:rsid w:val="000441A7"/>
    <w:rsid w:val="00060149"/>
    <w:rsid w:val="000D488A"/>
    <w:rsid w:val="000F4220"/>
    <w:rsid w:val="002E792D"/>
    <w:rsid w:val="003534A1"/>
    <w:rsid w:val="003907DC"/>
    <w:rsid w:val="003F61DD"/>
    <w:rsid w:val="005E2595"/>
    <w:rsid w:val="00625747"/>
    <w:rsid w:val="00676857"/>
    <w:rsid w:val="007B1496"/>
    <w:rsid w:val="007C432D"/>
    <w:rsid w:val="008A6676"/>
    <w:rsid w:val="008C17F1"/>
    <w:rsid w:val="0099383A"/>
    <w:rsid w:val="00D41286"/>
    <w:rsid w:val="00F852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F5C4"/>
  <w15:chartTrackingRefBased/>
  <w15:docId w15:val="{C8016D41-A8FF-4A33-87A5-CF1E9947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412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412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4128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4128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4128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4128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4128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4128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4128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4128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4128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4128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4128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4128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4128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4128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4128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4128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4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4128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4128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4128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4128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41286"/>
    <w:rPr>
      <w:i/>
      <w:iCs/>
      <w:color w:val="404040" w:themeColor="text1" w:themeTint="BF"/>
    </w:rPr>
  </w:style>
  <w:style w:type="paragraph" w:styleId="Paragrafoelenco">
    <w:name w:val="List Paragraph"/>
    <w:basedOn w:val="Normale"/>
    <w:uiPriority w:val="34"/>
    <w:qFormat/>
    <w:rsid w:val="00D41286"/>
    <w:pPr>
      <w:ind w:left="720"/>
      <w:contextualSpacing/>
    </w:pPr>
  </w:style>
  <w:style w:type="character" w:styleId="Enfasiintensa">
    <w:name w:val="Intense Emphasis"/>
    <w:basedOn w:val="Carpredefinitoparagrafo"/>
    <w:uiPriority w:val="21"/>
    <w:qFormat/>
    <w:rsid w:val="00D41286"/>
    <w:rPr>
      <w:i/>
      <w:iCs/>
      <w:color w:val="2F5496" w:themeColor="accent1" w:themeShade="BF"/>
    </w:rPr>
  </w:style>
  <w:style w:type="paragraph" w:styleId="Citazioneintensa">
    <w:name w:val="Intense Quote"/>
    <w:basedOn w:val="Normale"/>
    <w:next w:val="Normale"/>
    <w:link w:val="CitazioneintensaCarattere"/>
    <w:uiPriority w:val="30"/>
    <w:qFormat/>
    <w:rsid w:val="00D412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41286"/>
    <w:rPr>
      <w:i/>
      <w:iCs/>
      <w:color w:val="2F5496" w:themeColor="accent1" w:themeShade="BF"/>
    </w:rPr>
  </w:style>
  <w:style w:type="character" w:styleId="Riferimentointenso">
    <w:name w:val="Intense Reference"/>
    <w:basedOn w:val="Carpredefinitoparagrafo"/>
    <w:uiPriority w:val="32"/>
    <w:qFormat/>
    <w:rsid w:val="00D412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1631</Words>
  <Characters>9300</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2025-01-15T09:09:00Z</dcterms:created>
  <dcterms:modified xsi:type="dcterms:W3CDTF">2025-01-15T15:18:00Z</dcterms:modified>
</cp:coreProperties>
</file>