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0CC8B" w14:textId="6021088A" w:rsidR="00060149" w:rsidRDefault="00DA6878">
      <w:r>
        <w:t>Risposta al quesito</w:t>
      </w:r>
      <w:r w:rsidR="000C1BEB">
        <w:t xml:space="preserve"> STEP</w:t>
      </w:r>
      <w:r>
        <w:t>.</w:t>
      </w:r>
    </w:p>
    <w:p w14:paraId="6EE13E39" w14:textId="77777777" w:rsidR="00DA6878" w:rsidRDefault="00DA6878"/>
    <w:p w14:paraId="40A5A663" w14:textId="13CFE07E" w:rsidR="00DA6878" w:rsidRDefault="00DA6878" w:rsidP="00DA6878">
      <w:pPr>
        <w:jc w:val="both"/>
      </w:pPr>
      <w:r>
        <w:t>La ricostruzione fatta</w:t>
      </w:r>
      <w:r w:rsidR="000C1BEB">
        <w:t xml:space="preserve"> nel quesito </w:t>
      </w:r>
      <w:r>
        <w:t xml:space="preserve">è assolutamente fedele e condividibile. Il MEF per primo </w:t>
      </w:r>
      <w:r w:rsidR="000C1BEB">
        <w:t xml:space="preserve">si era </w:t>
      </w:r>
      <w:r>
        <w:t>espresso sul concetto della soggettività passiva in via mediata</w:t>
      </w:r>
      <w:r w:rsidR="000C1BEB">
        <w:t xml:space="preserve">, tanto che </w:t>
      </w:r>
      <w:r>
        <w:t xml:space="preserve">la norma </w:t>
      </w:r>
      <w:r w:rsidR="000C1BEB">
        <w:t xml:space="preserve">odierna </w:t>
      </w:r>
      <w:r>
        <w:t xml:space="preserve">riprende esattamente il percorso logico fatto nella circolare 1/DF del 20/01/2009. Concetti </w:t>
      </w:r>
      <w:r w:rsidR="000C1BEB">
        <w:t xml:space="preserve">contenuti nella circolare </w:t>
      </w:r>
      <w:r>
        <w:t>che oggi vengono avvalorati sia dal testo normativo, sia dall’evoluzione tecnologica che ha portato alla condivisione delle reti nel settore telefonico, condivisione anche</w:t>
      </w:r>
      <w:r w:rsidR="001B30F5">
        <w:t xml:space="preserve"> di tipo</w:t>
      </w:r>
      <w:r>
        <w:t xml:space="preserve"> virtuale, effettuata </w:t>
      </w:r>
      <w:r w:rsidR="001B30F5">
        <w:t xml:space="preserve">cioè </w:t>
      </w:r>
      <w:r>
        <w:t xml:space="preserve">senza </w:t>
      </w:r>
      <w:r w:rsidR="001B30F5">
        <w:t>alcuna</w:t>
      </w:r>
      <w:r>
        <w:t xml:space="preserve"> materiale occupazione di suolo pubblico. </w:t>
      </w:r>
    </w:p>
    <w:p w14:paraId="1BE203A4" w14:textId="77777777" w:rsidR="001B30F5" w:rsidRDefault="001B30F5" w:rsidP="00DA6878">
      <w:pPr>
        <w:jc w:val="both"/>
      </w:pPr>
      <w:r>
        <w:t>R</w:t>
      </w:r>
      <w:r w:rsidR="00DA6878">
        <w:t xml:space="preserve">ecente giurisprudenza si è espressa nel confermare l’applicazione della soggettività passiva in via mediata nell’ambito del settore telefonico, oggi l’unico settore dove può effettivamente ancora trovare applicazione. </w:t>
      </w:r>
    </w:p>
    <w:p w14:paraId="7FBA6F69" w14:textId="67B4BDCB" w:rsidR="00DA6878" w:rsidRDefault="00DA6878" w:rsidP="00DA6878">
      <w:pPr>
        <w:jc w:val="both"/>
      </w:pPr>
      <w:r>
        <w:t>Sono diverse</w:t>
      </w:r>
      <w:r w:rsidR="000C1BEB">
        <w:t xml:space="preserve"> infatti </w:t>
      </w:r>
      <w:r>
        <w:t xml:space="preserve"> le sentenze che riconoscono questo ruolo di soggetto passivo alle compagnie telefoniche che vendono i propri servizi internet e voce sfruttando le reti di altri soggetti concessionari delle infrastrutture che occupano il suolo e sottosuolo dei territori comunali e provinciali. </w:t>
      </w:r>
    </w:p>
    <w:p w14:paraId="76492D0B" w14:textId="77777777" w:rsidR="001B30F5" w:rsidRDefault="001B30F5" w:rsidP="001B30F5">
      <w:pPr>
        <w:pStyle w:val="Nessunaspaziatura"/>
        <w:jc w:val="both"/>
        <w:rPr>
          <w:rFonts w:ascii="Calibri" w:hAnsi="Calibri" w:cs="Calibri"/>
          <w:color w:val="000000"/>
        </w:rPr>
      </w:pPr>
      <w:r>
        <w:t xml:space="preserve">Leggere oggi alcuni passaggi della circolare del 2009 aiuta alla giusta interpretazione del comma 831. In particolare </w:t>
      </w:r>
      <w:r>
        <w:rPr>
          <w:rFonts w:ascii="Calibri" w:hAnsi="Calibri" w:cs="Calibri"/>
          <w:color w:val="000000"/>
        </w:rPr>
        <w:t>per quanto</w:t>
      </w:r>
      <w:r w:rsidRPr="00EB5922">
        <w:rPr>
          <w:rFonts w:ascii="Calibri" w:hAnsi="Calibri" w:cs="Calibri"/>
          <w:color w:val="000000"/>
        </w:rPr>
        <w:t xml:space="preserve"> scritto a pagina 6 punto 1 lettera c</w:t>
      </w:r>
      <w:r>
        <w:rPr>
          <w:rFonts w:ascii="Calibri" w:hAnsi="Calibri" w:cs="Calibri"/>
          <w:color w:val="000000"/>
        </w:rPr>
        <w:t xml:space="preserve">: </w:t>
      </w:r>
    </w:p>
    <w:p w14:paraId="427628F8" w14:textId="77777777" w:rsidR="00526BE2" w:rsidRDefault="00526BE2" w:rsidP="001B30F5">
      <w:pPr>
        <w:pStyle w:val="Nessunaspaziatura"/>
        <w:jc w:val="both"/>
        <w:rPr>
          <w:rFonts w:ascii="Calibri" w:hAnsi="Calibri" w:cs="Calibri"/>
          <w:color w:val="000000"/>
        </w:rPr>
      </w:pPr>
    </w:p>
    <w:p w14:paraId="54F177D8" w14:textId="1B08FA47" w:rsidR="001B30F5" w:rsidRDefault="001B30F5" w:rsidP="001B30F5">
      <w:pPr>
        <w:pStyle w:val="Nessunaspaziatura"/>
        <w:jc w:val="both"/>
        <w:rPr>
          <w:rFonts w:ascii="Calibri" w:hAnsi="Calibri" w:cs="Calibri"/>
          <w:i/>
          <w:iCs/>
          <w:color w:val="000000"/>
        </w:rPr>
      </w:pPr>
      <w:r w:rsidRPr="00EB5922">
        <w:rPr>
          <w:rFonts w:ascii="Calibri" w:hAnsi="Calibri" w:cs="Calibri"/>
          <w:i/>
          <w:iCs/>
          <w:color w:val="000000"/>
        </w:rPr>
        <w:t>“Relativamente ai soggetti tenuti al pagamento della TOSAP o del COSAP occorre precisare che l'evoluzione tecnologica raggiunta nel settore dei servizi di pubblica utilità ha comportato che i cavi e le condutture che vengono installati sul suolo e nel sottosuolo siano suscettibili di essere contemporaneamente utilizzati da diverse società di erogazione di pubblici servizi, che non sono, però, titolari delle suddette infrastrutture con le quali si realizzano le occupazioni stesse, come ad esempio, avviene nel campo delle telecomunicazioni. Questi ultimi soggetti amministrano, comunque, il rapporto di gestione delle utenze a cui fa riferimento l'art. 63, comma 2, lettera f) del D.Igs. n. 446 del 1997 per il calcolo della TOSAP o del</w:t>
      </w:r>
      <w:r>
        <w:rPr>
          <w:rFonts w:ascii="Calibri" w:hAnsi="Calibri" w:cs="Calibri"/>
          <w:i/>
          <w:iCs/>
          <w:color w:val="000000"/>
        </w:rPr>
        <w:t xml:space="preserve"> </w:t>
      </w:r>
      <w:r w:rsidRPr="00EB5922">
        <w:rPr>
          <w:rFonts w:ascii="Calibri" w:hAnsi="Calibri" w:cs="Calibri"/>
          <w:i/>
          <w:iCs/>
          <w:color w:val="000000"/>
        </w:rPr>
        <w:t>COSAP.</w:t>
      </w:r>
      <w:r>
        <w:rPr>
          <w:rFonts w:ascii="Calibri" w:hAnsi="Calibri" w:cs="Calibri"/>
          <w:i/>
          <w:iCs/>
          <w:color w:val="000000"/>
        </w:rPr>
        <w:t xml:space="preserve"> </w:t>
      </w:r>
    </w:p>
    <w:p w14:paraId="4E8F7508" w14:textId="77777777" w:rsidR="001B30F5" w:rsidRPr="00EB5922" w:rsidRDefault="001B30F5" w:rsidP="001B30F5">
      <w:pPr>
        <w:pStyle w:val="Nessunaspaziatura"/>
        <w:jc w:val="both"/>
        <w:rPr>
          <w:rFonts w:ascii="Calibri" w:hAnsi="Calibri" w:cs="Calibri"/>
          <w:i/>
          <w:iCs/>
          <w:color w:val="000000"/>
        </w:rPr>
      </w:pPr>
    </w:p>
    <w:p w14:paraId="70898C65" w14:textId="77777777" w:rsidR="001B30F5" w:rsidRDefault="001B30F5" w:rsidP="001B30F5">
      <w:pPr>
        <w:pStyle w:val="Nessunaspaziatura"/>
        <w:jc w:val="both"/>
        <w:rPr>
          <w:rFonts w:ascii="Calibri" w:hAnsi="Calibri" w:cs="Calibri"/>
          <w:i/>
          <w:iCs/>
          <w:color w:val="000000"/>
        </w:rPr>
      </w:pPr>
      <w:r w:rsidRPr="00EB5922">
        <w:rPr>
          <w:rFonts w:ascii="Calibri" w:hAnsi="Calibri" w:cs="Calibri"/>
          <w:i/>
          <w:iCs/>
          <w:color w:val="000000"/>
        </w:rPr>
        <w:t>Una lettura dinamica delle norme in questione, che si rende necessaria al fine di non vederne vanificata la portata, induce a ritenere che ciascuna società che fruisce, a qualunque titolo, di dette infrastrutture deve corrispondere direttamente al competente ente locale gli importi dovuti a titolo di TOSAP o di COSAP calcolati sulla base del numero delle proprie utenze.</w:t>
      </w:r>
    </w:p>
    <w:p w14:paraId="67DBEC62" w14:textId="77777777" w:rsidR="001B30F5" w:rsidRPr="00EB5922" w:rsidRDefault="001B30F5" w:rsidP="001B30F5">
      <w:pPr>
        <w:pStyle w:val="Nessunaspaziatura"/>
        <w:jc w:val="both"/>
        <w:rPr>
          <w:rFonts w:ascii="Calibri" w:hAnsi="Calibri" w:cs="Calibri"/>
          <w:i/>
          <w:iCs/>
          <w:color w:val="000000"/>
        </w:rPr>
      </w:pPr>
    </w:p>
    <w:p w14:paraId="7B0868CE" w14:textId="77777777" w:rsidR="001B30F5" w:rsidRDefault="001B30F5" w:rsidP="001B30F5">
      <w:pPr>
        <w:pStyle w:val="Nessunaspaziatura"/>
        <w:jc w:val="both"/>
        <w:rPr>
          <w:rFonts w:ascii="Calibri" w:hAnsi="Calibri" w:cs="Calibri"/>
          <w:i/>
          <w:iCs/>
          <w:color w:val="000000"/>
        </w:rPr>
      </w:pPr>
      <w:r w:rsidRPr="00EB5922">
        <w:rPr>
          <w:rFonts w:ascii="Calibri" w:hAnsi="Calibri" w:cs="Calibri"/>
          <w:i/>
          <w:iCs/>
          <w:color w:val="000000"/>
        </w:rPr>
        <w:t>Tale procedura, oltre ad essere preferibile sotto l'aspetto della semplificazione perseguita dal legislatore, si profila aderente allo spirito della norma, poiché è innegabile che non solo le società che materialmente effettuano l'occupazione del suolo pubblico ma anche quei soggetti che contestualmente utilizzano dette strutture svolgono un servizio di pubblica utilità. Questi ultimi, inoltre, effettuano anch'essi un'occupazione del suolo pubblico, seppure in via mediata, attraverso cioè l'utilizzazione dei cavi e delle condutture di altri soggetti.”</w:t>
      </w:r>
    </w:p>
    <w:p w14:paraId="0291D9ED" w14:textId="0CA994AF" w:rsidR="001B30F5" w:rsidRDefault="001B30F5" w:rsidP="00DA6878">
      <w:pPr>
        <w:jc w:val="both"/>
      </w:pPr>
    </w:p>
    <w:p w14:paraId="43605764" w14:textId="354EC841" w:rsidR="00FF1894" w:rsidRDefault="00526BE2" w:rsidP="00FF1894">
      <w:pPr>
        <w:jc w:val="both"/>
      </w:pPr>
      <w:r>
        <w:t xml:space="preserve">Davvero significativi questa passaggi che aiutano a dare il giusto valore alla </w:t>
      </w:r>
      <w:r w:rsidR="00FF1894">
        <w:t>norma che ha introdotto la c.d. soggettività passiva mediata</w:t>
      </w:r>
      <w:r>
        <w:t xml:space="preserve">. Concetti che non perdono di importanza neppure </w:t>
      </w:r>
      <w:r w:rsidR="00FF1894">
        <w:t>alla luce dell’intervento di interpretazione autentica</w:t>
      </w:r>
      <w:r>
        <w:t xml:space="preserve"> introdotto con </w:t>
      </w:r>
      <w:r w:rsidRPr="00526BE2">
        <w:t>l’</w:t>
      </w:r>
      <w:r w:rsidR="00FF1894" w:rsidRPr="00526BE2">
        <w:t>art. 5 comma 14 quinquies del D.L. 146/2021</w:t>
      </w:r>
      <w:r w:rsidR="00FF1894">
        <w:rPr>
          <w:i/>
          <w:iCs/>
        </w:rPr>
        <w:t>,</w:t>
      </w:r>
      <w:r w:rsidR="00FF1894">
        <w:t xml:space="preserve"> </w:t>
      </w:r>
      <w:r>
        <w:t xml:space="preserve">che </w:t>
      </w:r>
      <w:r w:rsidR="00FF1894">
        <w:t>va intes</w:t>
      </w:r>
      <w:r>
        <w:t xml:space="preserve">o </w:t>
      </w:r>
      <w:r w:rsidR="00FF1894">
        <w:t>nel senso che l’esclusione dalla debenza del canone non è generalizzata ma esclusivamente dedicata a quei settori in cui è prevista una separazione fra i titolari delle infrastrutture ed i titolari del contratto di vendita del bene distribuito alla clientela finale, previsione riferibile</w:t>
      </w:r>
      <w:r w:rsidR="00FF1894">
        <w:t xml:space="preserve">, come correttamente osservato nel Vostro quesito, </w:t>
      </w:r>
      <w:r w:rsidR="00FF1894">
        <w:t xml:space="preserve"> a quei settori- come quelli del gas e dell’energia elettrica- in cui la normativa di riferimento impone una netta separazione tra l’attività di distribuzione e quella di vendita, lasciando per il resto inalterata l’originaria previsione</w:t>
      </w:r>
      <w:r w:rsidR="00FF1894">
        <w:t>.</w:t>
      </w:r>
    </w:p>
    <w:p w14:paraId="343810AF" w14:textId="7F1933E7" w:rsidR="00FF1894" w:rsidRDefault="00FF1894" w:rsidP="00FF1894">
      <w:pPr>
        <w:jc w:val="both"/>
      </w:pPr>
      <w:r>
        <w:t xml:space="preserve">La ratio della norma di interpretazione autentica, dunque, va ricercata nella peculiare caratteristica del sistema che opera per le imprese di distribuzione del gas e dell’energia elettrica dove le società titolari dei </w:t>
      </w:r>
      <w:r>
        <w:lastRenderedPageBreak/>
        <w:t>contratti di vendita non utilizzano, neppure in via mediata, la rete di distribuzione della materia prima ai clienti finali limitandosi solamente alla commercializzazione del prodotto</w:t>
      </w:r>
    </w:p>
    <w:p w14:paraId="2C886004" w14:textId="2959A056" w:rsidR="00DA6878" w:rsidRDefault="00FF1894" w:rsidP="00FF1894">
      <w:pPr>
        <w:jc w:val="both"/>
      </w:pPr>
      <w:r>
        <w:t xml:space="preserve">Per il servizio di telefonia, </w:t>
      </w:r>
      <w:r>
        <w:t>invece</w:t>
      </w:r>
      <w:r>
        <w:t>, l’operatore telefonico non si limita alla mera commercializzazione del servizio ma fa uso, seppur mediato, della rete infrastrutturale d</w:t>
      </w:r>
      <w:r>
        <w:t xml:space="preserve">el concessionario, </w:t>
      </w:r>
      <w:r>
        <w:t xml:space="preserve">collegandovisi mediante i sistemi </w:t>
      </w:r>
      <w:r>
        <w:t xml:space="preserve">tecnologici, </w:t>
      </w:r>
      <w:r>
        <w:t>inclus</w:t>
      </w:r>
      <w:r>
        <w:t>i</w:t>
      </w:r>
      <w:r>
        <w:t xml:space="preserve"> anche quell</w:t>
      </w:r>
      <w:r>
        <w:t>i</w:t>
      </w:r>
      <w:r>
        <w:t xml:space="preserve"> con modalità virtuale</w:t>
      </w:r>
      <w:r>
        <w:t>.</w:t>
      </w:r>
    </w:p>
    <w:p w14:paraId="3D0944EA" w14:textId="77777777" w:rsidR="00D01C3D" w:rsidRDefault="00D01C3D" w:rsidP="00D01C3D">
      <w:pPr>
        <w:jc w:val="both"/>
      </w:pPr>
      <w:r>
        <w:t xml:space="preserve">L’attuale assetto del mercato telefonico, con la società ex monopolista che ha venduto la rete a Fibercop e che oggi si dichiara mero utilizzatore dell’infrastruttura versando solo la quota forfetaria, non è più sostenibile. </w:t>
      </w:r>
    </w:p>
    <w:p w14:paraId="195B4A88" w14:textId="77777777" w:rsidR="00D01C3D" w:rsidRDefault="00D01C3D" w:rsidP="00D01C3D">
      <w:pPr>
        <w:jc w:val="both"/>
      </w:pPr>
      <w:r>
        <w:t xml:space="preserve">TIM infatti ha abbandonato definitivamente il calcolo del canone basato sulle utenze attive di rete fissa ed è andata a auto-posizionarsi tra quelle società competitor sul mercato che non occupano direttamente suolo pubblico, ritenendosi peraltro estranea alla cosiddetta soggettività passiva in via mediata. </w:t>
      </w:r>
    </w:p>
    <w:p w14:paraId="7F7CB8BF" w14:textId="5E46F90E" w:rsidR="00D01C3D" w:rsidRDefault="00D01C3D" w:rsidP="00D01C3D">
      <w:pPr>
        <w:jc w:val="both"/>
      </w:pPr>
      <w:r>
        <w:t>Decide in ogni caso di versare la misura minima di canone come conseguenza dell’unico caso residuo di possesso materiale di occupazione mediata del suolo pubblico derivante dal cosiddetto indefeasible right of use o IRU, ovvero il diritto pluriennale d’uso dell’infrastruttura di rete.</w:t>
      </w:r>
    </w:p>
    <w:p w14:paraId="77C76E01" w14:textId="77777777" w:rsidR="00526BE2" w:rsidRDefault="00D01C3D" w:rsidP="00D01C3D">
      <w:pPr>
        <w:jc w:val="both"/>
      </w:pPr>
      <w:r>
        <w:t xml:space="preserve">Condivise queste premesse e rispondendo alle tre domande poste nel quesito, </w:t>
      </w:r>
      <w:r w:rsidR="00526BE2">
        <w:t>in particolare:</w:t>
      </w:r>
    </w:p>
    <w:p w14:paraId="30879B86" w14:textId="77777777" w:rsidR="00526BE2" w:rsidRDefault="00D01C3D" w:rsidP="00D01C3D">
      <w:pPr>
        <w:pStyle w:val="Paragrafoelenco"/>
        <w:numPr>
          <w:ilvl w:val="0"/>
          <w:numId w:val="2"/>
        </w:numPr>
        <w:jc w:val="both"/>
      </w:pPr>
      <w:r>
        <w:t xml:space="preserve">si precisa che il pagamento </w:t>
      </w:r>
      <w:r w:rsidRPr="00D01C3D">
        <w:t>del canone di cui al comma 831, L. 160/2019 deve avvenire contemporaneamente ad opera d</w:t>
      </w:r>
      <w:r>
        <w:t xml:space="preserve">ei diversi soggetti che partecipano all’erogazione dei servizi, quindi sia la società titolare della rete, sia chi la utilizza, anche in via mediata, per raggiungere i </w:t>
      </w:r>
      <w:r w:rsidR="00526BE2">
        <w:t xml:space="preserve">propri </w:t>
      </w:r>
      <w:r>
        <w:t>clienti finali</w:t>
      </w:r>
      <w:r w:rsidR="00526BE2">
        <w:t xml:space="preserve"> (TIM, Vodafone, WindTre, Fastweb, ecc…)</w:t>
      </w:r>
      <w:r>
        <w:t>.</w:t>
      </w:r>
      <w:r w:rsidR="00526BE2">
        <w:t xml:space="preserve"> </w:t>
      </w:r>
    </w:p>
    <w:p w14:paraId="6E706CC9" w14:textId="77777777" w:rsidR="00526BE2" w:rsidRDefault="00D01C3D" w:rsidP="00D01C3D">
      <w:pPr>
        <w:pStyle w:val="Paragrafoelenco"/>
        <w:numPr>
          <w:ilvl w:val="0"/>
          <w:numId w:val="2"/>
        </w:numPr>
        <w:jc w:val="both"/>
      </w:pPr>
      <w:r>
        <w:t>Coerentemente con la linea seguita e rappresentata in premessa, si ritiene che FIBERCOP debba versare il canone nella misura forfetaria per effetto del</w:t>
      </w:r>
      <w:r w:rsidR="00FA1B98">
        <w:t xml:space="preserve"> suo</w:t>
      </w:r>
      <w:r>
        <w:t xml:space="preserve"> ruolo di società strumentale all’erogazione del servizio</w:t>
      </w:r>
      <w:r w:rsidR="00FA1B98">
        <w:t>, mentre</w:t>
      </w:r>
      <w:r>
        <w:t xml:space="preserve"> ciascuna compagnia presente sul mercato dovrà corrispondere il canone sulla base delle proprie utenze attive</w:t>
      </w:r>
      <w:r w:rsidR="00FA1B98">
        <w:t>,</w:t>
      </w:r>
      <w:r>
        <w:t xml:space="preserve"> dando</w:t>
      </w:r>
      <w:r w:rsidR="00FA1B98">
        <w:t xml:space="preserve"> </w:t>
      </w:r>
      <w:r w:rsidR="001B30F5">
        <w:t>così attuazione</w:t>
      </w:r>
      <w:r>
        <w:t xml:space="preserve"> al principio della soggettività passiva in via mediata.</w:t>
      </w:r>
      <w:r w:rsidR="00526BE2">
        <w:t xml:space="preserve"> </w:t>
      </w:r>
    </w:p>
    <w:p w14:paraId="0017A155" w14:textId="77777777" w:rsidR="00526BE2" w:rsidRDefault="001B30F5" w:rsidP="00526BE2">
      <w:pPr>
        <w:pStyle w:val="Paragrafoelenco"/>
        <w:jc w:val="both"/>
      </w:pPr>
      <w:r>
        <w:t xml:space="preserve">Non trova quindi applicazione, nel settore della telefonia, il </w:t>
      </w:r>
      <w:r w:rsidRPr="001B30F5">
        <w:t>principio della separazione tra i soggetti titolari delle reti/infrastrutture ed i soggetti titolari dei contratti di somministrazione/vendita</w:t>
      </w:r>
      <w:r>
        <w:t>. Tuttavia non abbiamo a disposizione una legge che lo preveda espressamente, esiste solo una giurisprudenza che si sta formando sui principi sopra richiamati e che vedono nel settore della telefonia il formarsi del principio della soggettività passiva in via mediata.</w:t>
      </w:r>
      <w:r w:rsidR="00526BE2">
        <w:t xml:space="preserve"> </w:t>
      </w:r>
    </w:p>
    <w:p w14:paraId="209F6EC9" w14:textId="27709C64" w:rsidR="001B30F5" w:rsidRDefault="001B30F5" w:rsidP="00526BE2">
      <w:pPr>
        <w:pStyle w:val="Paragrafoelenco"/>
        <w:numPr>
          <w:ilvl w:val="0"/>
          <w:numId w:val="2"/>
        </w:numPr>
        <w:jc w:val="both"/>
      </w:pPr>
      <w:r>
        <w:t xml:space="preserve">Infine, in relazione agli armadi </w:t>
      </w:r>
      <w:r w:rsidRPr="001B30F5">
        <w:t>riferiti alle reti tecnologiche posti su suolo pubblico</w:t>
      </w:r>
      <w:r>
        <w:t>, queste rappresentano occupazioni permanenti direttamente collegate alla distribuzione del servizio e quindi ricomprese nel pagamento calcolato ad utenza secondo i dettami del comma 831. Sarebbe quindi sbagliato richiedere separatamente il pagamento dell’occupazione in base alla metratura sottratta all’uso pubblico.</w:t>
      </w:r>
    </w:p>
    <w:p w14:paraId="5FFB9D96" w14:textId="77777777" w:rsidR="001B30F5" w:rsidRDefault="001B30F5" w:rsidP="00D01C3D">
      <w:pPr>
        <w:jc w:val="both"/>
      </w:pPr>
    </w:p>
    <w:sectPr w:rsidR="001B30F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le Serif Text">
    <w:altName w:val="Cambria"/>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78A2"/>
    <w:multiLevelType w:val="hybridMultilevel"/>
    <w:tmpl w:val="C55CD7EE"/>
    <w:lvl w:ilvl="0" w:tplc="669E4674">
      <w:start w:val="1"/>
      <w:numFmt w:val="decimal"/>
      <w:lvlText w:val="%1."/>
      <w:lvlJc w:val="left"/>
      <w:pPr>
        <w:ind w:left="720" w:hanging="360"/>
      </w:pPr>
      <w:rPr>
        <w:rFonts w:ascii="Times New Roman" w:eastAsiaTheme="minorHAnsi" w:hAnsi="Times New Roman" w:cs="Times New Roman"/>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 w15:restartNumberingAfterBreak="0">
    <w:nsid w:val="09DC64F9"/>
    <w:multiLevelType w:val="hybridMultilevel"/>
    <w:tmpl w:val="62A6E364"/>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541497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91304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878"/>
    <w:rsid w:val="00060149"/>
    <w:rsid w:val="000C1BEB"/>
    <w:rsid w:val="001B30F5"/>
    <w:rsid w:val="00526BE2"/>
    <w:rsid w:val="007B1496"/>
    <w:rsid w:val="00BE0253"/>
    <w:rsid w:val="00D01C3D"/>
    <w:rsid w:val="00DA6878"/>
    <w:rsid w:val="00FA1B98"/>
    <w:rsid w:val="00FF189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BAF1A"/>
  <w15:chartTrackingRefBased/>
  <w15:docId w15:val="{44A7B291-DE6E-4034-8C3A-415C3913F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A68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DA68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DA6878"/>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DA6878"/>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DA6878"/>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DA687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A687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A687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A687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A6878"/>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DA6878"/>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DA6878"/>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DA6878"/>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DA6878"/>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DA687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A687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A687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A6878"/>
    <w:rPr>
      <w:rFonts w:eastAsiaTheme="majorEastAsia" w:cstheme="majorBidi"/>
      <w:color w:val="272727" w:themeColor="text1" w:themeTint="D8"/>
    </w:rPr>
  </w:style>
  <w:style w:type="paragraph" w:styleId="Titolo">
    <w:name w:val="Title"/>
    <w:basedOn w:val="Normale"/>
    <w:next w:val="Normale"/>
    <w:link w:val="TitoloCarattere"/>
    <w:uiPriority w:val="10"/>
    <w:qFormat/>
    <w:rsid w:val="00DA68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A687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A687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A687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A687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A6878"/>
    <w:rPr>
      <w:i/>
      <w:iCs/>
      <w:color w:val="404040" w:themeColor="text1" w:themeTint="BF"/>
    </w:rPr>
  </w:style>
  <w:style w:type="paragraph" w:styleId="Paragrafoelenco">
    <w:name w:val="List Paragraph"/>
    <w:basedOn w:val="Normale"/>
    <w:uiPriority w:val="34"/>
    <w:qFormat/>
    <w:rsid w:val="00DA6878"/>
    <w:pPr>
      <w:ind w:left="720"/>
      <w:contextualSpacing/>
    </w:pPr>
  </w:style>
  <w:style w:type="character" w:styleId="Enfasiintensa">
    <w:name w:val="Intense Emphasis"/>
    <w:basedOn w:val="Carpredefinitoparagrafo"/>
    <w:uiPriority w:val="21"/>
    <w:qFormat/>
    <w:rsid w:val="00DA6878"/>
    <w:rPr>
      <w:i/>
      <w:iCs/>
      <w:color w:val="2F5496" w:themeColor="accent1" w:themeShade="BF"/>
    </w:rPr>
  </w:style>
  <w:style w:type="paragraph" w:styleId="Citazioneintensa">
    <w:name w:val="Intense Quote"/>
    <w:basedOn w:val="Normale"/>
    <w:next w:val="Normale"/>
    <w:link w:val="CitazioneintensaCarattere"/>
    <w:uiPriority w:val="30"/>
    <w:qFormat/>
    <w:rsid w:val="00DA68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DA6878"/>
    <w:rPr>
      <w:i/>
      <w:iCs/>
      <w:color w:val="2F5496" w:themeColor="accent1" w:themeShade="BF"/>
    </w:rPr>
  </w:style>
  <w:style w:type="character" w:styleId="Riferimentointenso">
    <w:name w:val="Intense Reference"/>
    <w:basedOn w:val="Carpredefinitoparagrafo"/>
    <w:uiPriority w:val="32"/>
    <w:qFormat/>
    <w:rsid w:val="00DA6878"/>
    <w:rPr>
      <w:b/>
      <w:bCs/>
      <w:smallCaps/>
      <w:color w:val="2F5496" w:themeColor="accent1" w:themeShade="BF"/>
      <w:spacing w:val="5"/>
    </w:rPr>
  </w:style>
  <w:style w:type="paragraph" w:customStyle="1" w:styleId="Default">
    <w:name w:val="Default"/>
    <w:rsid w:val="00D01C3D"/>
    <w:pPr>
      <w:autoSpaceDE w:val="0"/>
      <w:autoSpaceDN w:val="0"/>
      <w:adjustRightInd w:val="0"/>
      <w:spacing w:after="0" w:line="240" w:lineRule="auto"/>
    </w:pPr>
    <w:rPr>
      <w:rFonts w:ascii="Sole Serif Text" w:hAnsi="Sole Serif Text" w:cs="Sole Serif Text"/>
      <w:color w:val="000000"/>
      <w:kern w:val="0"/>
      <w:sz w:val="24"/>
      <w:szCs w:val="24"/>
    </w:rPr>
  </w:style>
  <w:style w:type="paragraph" w:styleId="Nessunaspaziatura">
    <w:name w:val="No Spacing"/>
    <w:uiPriority w:val="1"/>
    <w:qFormat/>
    <w:rsid w:val="001B30F5"/>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1060</Words>
  <Characters>6048</Characters>
  <Application>Microsoft Office Word</Application>
  <DocSecurity>0</DocSecurity>
  <Lines>50</Lines>
  <Paragraphs>14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5</cp:revision>
  <dcterms:created xsi:type="dcterms:W3CDTF">2025-10-13T14:33:00Z</dcterms:created>
  <dcterms:modified xsi:type="dcterms:W3CDTF">2025-10-13T15:22:00Z</dcterms:modified>
</cp:coreProperties>
</file>