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D5755" w14:textId="7B164DDB" w:rsidR="006672EA" w:rsidRDefault="009710E7">
      <w:r>
        <w:t xml:space="preserve">Titolo: CUP - </w:t>
      </w:r>
      <w:r w:rsidRPr="009710E7">
        <w:t xml:space="preserve">Rivalutazione </w:t>
      </w:r>
      <w:r w:rsidRPr="009710E7">
        <w:t>ISTAT</w:t>
      </w:r>
      <w:r w:rsidRPr="009710E7">
        <w:t xml:space="preserve"> anche per la tariffa a forfait</w:t>
      </w:r>
      <w:r>
        <w:t xml:space="preserve"> del comma 831 </w:t>
      </w:r>
    </w:p>
    <w:p w14:paraId="3A19774C" w14:textId="24A5452C" w:rsidR="00DE3991" w:rsidRDefault="00DE3991" w:rsidP="005720D8">
      <w:pPr>
        <w:jc w:val="both"/>
      </w:pPr>
      <w:r>
        <w:t>Il 2024 si apre con una</w:t>
      </w:r>
      <w:r w:rsidR="009710E7">
        <w:t xml:space="preserve"> sentenza del Tribunale di Padova</w:t>
      </w:r>
      <w:r>
        <w:t xml:space="preserve"> che</w:t>
      </w:r>
      <w:r w:rsidR="009710E7">
        <w:t xml:space="preserve"> conferma quanto già sostenuto da tem</w:t>
      </w:r>
      <w:r w:rsidR="0046261E">
        <w:t>p</w:t>
      </w:r>
      <w:r w:rsidR="009710E7">
        <w:t xml:space="preserve">o circa l’aggiornamento Istat </w:t>
      </w:r>
      <w:r w:rsidR="004620C3">
        <w:t xml:space="preserve">anche </w:t>
      </w:r>
      <w:r w:rsidR="009710E7">
        <w:t>dell’importo minimo di 800 euro stabilito nel comma 831 dell’articolo 1 della Legge 160/2019.</w:t>
      </w:r>
    </w:p>
    <w:p w14:paraId="55BD71C2" w14:textId="230A6951" w:rsidR="009710E7" w:rsidRDefault="009710E7" w:rsidP="005720D8">
      <w:pPr>
        <w:jc w:val="both"/>
      </w:pPr>
      <w:r>
        <w:t xml:space="preserve">È una </w:t>
      </w:r>
      <w:r w:rsidR="00526B36">
        <w:t>conferma</w:t>
      </w:r>
      <w:r>
        <w:t xml:space="preserve"> molto importante per tutta quella platea di piccoli comuni che ricevono annualmente </w:t>
      </w:r>
      <w:r w:rsidR="004620C3">
        <w:t xml:space="preserve">la somma minima </w:t>
      </w:r>
      <w:r w:rsidR="00526B36">
        <w:t xml:space="preserve">a titolo CUP </w:t>
      </w:r>
      <w:r>
        <w:t>d</w:t>
      </w:r>
      <w:r w:rsidR="004620C3">
        <w:t>a parte de</w:t>
      </w:r>
      <w:r>
        <w:t xml:space="preserve">lle diverse aziende che erogano pubblici servizi nel loro territorio. Enti territoriali </w:t>
      </w:r>
      <w:r w:rsidR="00526B36">
        <w:t>caratterizzati</w:t>
      </w:r>
      <w:r>
        <w:t xml:space="preserve"> da una scarsa </w:t>
      </w:r>
      <w:r w:rsidR="00526B36">
        <w:t xml:space="preserve">popolazione che porta ad aver attive un numero di utenze tale da non far </w:t>
      </w:r>
      <w:r w:rsidR="004620C3">
        <w:t>superare</w:t>
      </w:r>
      <w:r w:rsidR="00526B36">
        <w:t xml:space="preserve"> </w:t>
      </w:r>
      <w:r w:rsidR="004620C3">
        <w:t xml:space="preserve">mai </w:t>
      </w:r>
      <w:r w:rsidR="00526B36">
        <w:t xml:space="preserve">la soglia di importo minimo previsto </w:t>
      </w:r>
      <w:r w:rsidR="002629E4">
        <w:t>dal comma</w:t>
      </w:r>
      <w:r w:rsidR="00526B36">
        <w:t xml:space="preserve"> 831. Queste amministrazioni, parliamo di più di 5.000 </w:t>
      </w:r>
      <w:r w:rsidR="004620C3">
        <w:t>Comuni, ricevono</w:t>
      </w:r>
      <w:r>
        <w:t xml:space="preserve"> </w:t>
      </w:r>
      <w:r w:rsidR="002629E4">
        <w:t xml:space="preserve">ogni anno </w:t>
      </w:r>
      <w:r>
        <w:t xml:space="preserve">almeno </w:t>
      </w:r>
      <w:r w:rsidR="002629E4">
        <w:t>6</w:t>
      </w:r>
      <w:r>
        <w:t xml:space="preserve"> versamenti in relazione ai servizi di Luce, Gas, Acqua, Fognatura, Telefonia</w:t>
      </w:r>
      <w:r w:rsidR="002629E4">
        <w:t>, illuminazione pubblica.</w:t>
      </w:r>
    </w:p>
    <w:p w14:paraId="5A8A9115" w14:textId="2775CC75" w:rsidR="0046261E" w:rsidRDefault="0046261E" w:rsidP="0046261E">
      <w:pPr>
        <w:jc w:val="both"/>
      </w:pPr>
      <w:r>
        <w:t>La normativa relativa le occupazioni realizzate con cavi e conduttore da parte delle aziende di erogazione di pubblici servizi,</w:t>
      </w:r>
      <w:r w:rsidR="00616760">
        <w:t xml:space="preserve"> come detto</w:t>
      </w:r>
      <w:r>
        <w:t xml:space="preserve"> è disciplinata dal comma 831 dell’articolo 1 della Legge 160/2019, comma emendato dal comma 848 dell’articolo 1 della Legge 178/2020.</w:t>
      </w:r>
    </w:p>
    <w:p w14:paraId="10ECA85A" w14:textId="664A4502" w:rsidR="0046261E" w:rsidRPr="00616760" w:rsidRDefault="0046261E" w:rsidP="0046261E">
      <w:pPr>
        <w:jc w:val="both"/>
        <w:rPr>
          <w:i/>
          <w:iCs/>
        </w:rPr>
      </w:pPr>
      <w:r>
        <w:t xml:space="preserve">Nel testo del comma 831 si legge: </w:t>
      </w:r>
      <w:r w:rsidRPr="00616760">
        <w:rPr>
          <w:i/>
          <w:iCs/>
        </w:rPr>
        <w:t xml:space="preserve">“…Gli importi </w:t>
      </w:r>
      <w:r w:rsidR="00616760" w:rsidRPr="00616760">
        <w:rPr>
          <w:i/>
          <w:iCs/>
        </w:rPr>
        <w:t xml:space="preserve">sono rivalutati </w:t>
      </w:r>
      <w:r w:rsidR="004620C3" w:rsidRPr="00616760">
        <w:rPr>
          <w:i/>
          <w:iCs/>
        </w:rPr>
        <w:t>annualmente in</w:t>
      </w:r>
      <w:r w:rsidRPr="00616760">
        <w:rPr>
          <w:i/>
          <w:iCs/>
        </w:rPr>
        <w:t xml:space="preserve"> base all'indice ISTAT dei prezzi al consumo rilevati </w:t>
      </w:r>
      <w:r w:rsidR="004620C3" w:rsidRPr="00616760">
        <w:rPr>
          <w:i/>
          <w:iCs/>
        </w:rPr>
        <w:t>al 31</w:t>
      </w:r>
      <w:r w:rsidRPr="00616760">
        <w:rPr>
          <w:i/>
          <w:iCs/>
        </w:rPr>
        <w:t xml:space="preserve">  dicembre dell'anno precedente…</w:t>
      </w:r>
      <w:r w:rsidR="00616760">
        <w:rPr>
          <w:i/>
          <w:iCs/>
        </w:rPr>
        <w:t>”</w:t>
      </w:r>
    </w:p>
    <w:p w14:paraId="62033060" w14:textId="08DCD4BD" w:rsidR="0046261E" w:rsidRDefault="0046261E" w:rsidP="0046261E">
      <w:pPr>
        <w:jc w:val="both"/>
      </w:pPr>
      <w:r>
        <w:t xml:space="preserve">Il legislatore ha fissato le tariffe ad utenza a cui fare riferimento, individuandole in due fasce in base alla popolazione del Comune, prevedendo l’adeguamento annuale degli </w:t>
      </w:r>
      <w:r w:rsidR="00616760">
        <w:t>“</w:t>
      </w:r>
      <w:r w:rsidR="00616760" w:rsidRPr="00616760">
        <w:rPr>
          <w:i/>
          <w:iCs/>
        </w:rPr>
        <w:t>importi</w:t>
      </w:r>
      <w:r w:rsidR="00616760">
        <w:t>”</w:t>
      </w:r>
      <w:r>
        <w:t xml:space="preserve"> in base all’indice ISTAT dei prezzi al consumo rilevati al 31 dicembre dell’anno precedente.</w:t>
      </w:r>
    </w:p>
    <w:p w14:paraId="2F63CF1C" w14:textId="77777777" w:rsidR="0046261E" w:rsidRDefault="0046261E" w:rsidP="0046261E">
      <w:pPr>
        <w:jc w:val="both"/>
      </w:pPr>
      <w:r>
        <w:t>Proprio questa formulazione utilizzata dal Legislatore porta a ritenere che anche la soglia minima di 800 euro debba essere rivalutata così come le due misure di tariffe.</w:t>
      </w:r>
    </w:p>
    <w:p w14:paraId="068EB329" w14:textId="25A22055" w:rsidR="004620C3" w:rsidRDefault="004620C3" w:rsidP="0046261E">
      <w:pPr>
        <w:jc w:val="both"/>
      </w:pPr>
      <w:r>
        <w:t>Con la precedente disciplina, riferita ai</w:t>
      </w:r>
      <w:r w:rsidRPr="004620C3">
        <w:t xml:space="preserve"> prelievi Tosap </w:t>
      </w:r>
      <w:r>
        <w:t>e</w:t>
      </w:r>
      <w:r w:rsidRPr="004620C3">
        <w:t xml:space="preserve"> Cosap, </w:t>
      </w:r>
      <w:r>
        <w:t xml:space="preserve">la tematica era </w:t>
      </w:r>
      <w:r w:rsidRPr="004620C3">
        <w:t>fissata all’articolo 63 comma 2 del D.Lgs 446/97.</w:t>
      </w:r>
      <w:r>
        <w:t xml:space="preserve"> Nel comma si prevedeva espressamente che l’adeguamento Istat fosse riferito alle due misure tariffarie con esclusione dell’importo minimo. </w:t>
      </w:r>
      <w:r w:rsidR="00216EBA">
        <w:t>Nel punto 4 della lettera F del comma 2 si legge</w:t>
      </w:r>
      <w:r w:rsidR="00492118">
        <w:t xml:space="preserve"> infatti</w:t>
      </w:r>
      <w:r w:rsidR="00216EBA">
        <w:t xml:space="preserve">: </w:t>
      </w:r>
      <w:r w:rsidR="00216EBA" w:rsidRPr="00DE3991">
        <w:rPr>
          <w:i/>
          <w:iCs/>
        </w:rPr>
        <w:t>“</w:t>
      </w:r>
      <w:r w:rsidR="00216EBA" w:rsidRPr="00DE3991">
        <w:rPr>
          <w:i/>
          <w:iCs/>
        </w:rPr>
        <w:t>gli importi di cui al numero 1) sono rivalutati annualmente in base all'indice ISTAT dei prezzi al consumo rilevati al 31 dicembre dell'anno precedente;</w:t>
      </w:r>
      <w:r w:rsidR="00DE3991" w:rsidRPr="00DE3991">
        <w:rPr>
          <w:i/>
          <w:iCs/>
        </w:rPr>
        <w:t>”</w:t>
      </w:r>
      <w:r w:rsidR="00DE3991">
        <w:t>. Il punto 1 è quello che definisce le due tariffe, mentre l’importo minimo è richiamato al punto 3.</w:t>
      </w:r>
    </w:p>
    <w:p w14:paraId="4ECA391F" w14:textId="7D43A4F6" w:rsidR="00DE3991" w:rsidRDefault="00DE3991" w:rsidP="0046261E">
      <w:pPr>
        <w:jc w:val="both"/>
      </w:pPr>
      <w:r>
        <w:t xml:space="preserve">Ecco quindi il cambio di </w:t>
      </w:r>
      <w:r w:rsidR="00492118">
        <w:t xml:space="preserve">applicazione del </w:t>
      </w:r>
      <w:r>
        <w:t>calcolo nel passaggio da</w:t>
      </w:r>
      <w:r w:rsidR="00492118">
        <w:t xml:space="preserve">lla vecchia </w:t>
      </w:r>
      <w:r>
        <w:t>disciplina all</w:t>
      </w:r>
      <w:r w:rsidR="00492118">
        <w:t>a nuova</w:t>
      </w:r>
      <w:r>
        <w:t>.</w:t>
      </w:r>
    </w:p>
    <w:p w14:paraId="521F33ED" w14:textId="1F395040" w:rsidR="00DE3991" w:rsidRPr="00DE3991" w:rsidRDefault="00492118" w:rsidP="0046261E">
      <w:pPr>
        <w:jc w:val="both"/>
      </w:pPr>
      <w:r>
        <w:t>A</w:t>
      </w:r>
      <w:r w:rsidR="00DE3991">
        <w:t xml:space="preserve"> </w:t>
      </w:r>
      <w:r>
        <w:t xml:space="preserve">conferma della </w:t>
      </w:r>
      <w:r w:rsidR="00DE3991">
        <w:t>bontà del</w:t>
      </w:r>
      <w:r>
        <w:t xml:space="preserve"> criterio di</w:t>
      </w:r>
      <w:r w:rsidR="00DE3991">
        <w:t xml:space="preserve"> rivalutazione </w:t>
      </w:r>
      <w:r>
        <w:t xml:space="preserve">da applicare </w:t>
      </w:r>
      <w:r w:rsidR="00DE3991">
        <w:t xml:space="preserve">anche </w:t>
      </w:r>
      <w:r>
        <w:t>all’</w:t>
      </w:r>
      <w:r w:rsidR="00DE3991">
        <w:t xml:space="preserve">importo minimo, abbiamo il successivo comma 831bis, che prevede </w:t>
      </w:r>
      <w:r>
        <w:t xml:space="preserve">il pagamento della </w:t>
      </w:r>
      <w:r w:rsidR="00DE3991">
        <w:t>sol</w:t>
      </w:r>
      <w:r>
        <w:t>a</w:t>
      </w:r>
      <w:r w:rsidR="00DE3991">
        <w:t xml:space="preserve"> misura forfettaria a 800 euro (pari alla misura minima del comma 831) e ne stabilisce l’adeguamento Istat. Evidente </w:t>
      </w:r>
      <w:r>
        <w:t xml:space="preserve">quindi </w:t>
      </w:r>
      <w:r w:rsidR="00DE3991">
        <w:t xml:space="preserve">come l’intenzione del legislatore sia quello di vedere </w:t>
      </w:r>
      <w:r>
        <w:t xml:space="preserve">anche </w:t>
      </w:r>
      <w:r w:rsidR="00DE3991">
        <w:t>questo importo</w:t>
      </w:r>
      <w:r>
        <w:t xml:space="preserve">, sia per il comma 831 che 831 bis, </w:t>
      </w:r>
      <w:r w:rsidR="00DE3991">
        <w:t>rivalutato annualmente.</w:t>
      </w:r>
    </w:p>
    <w:p w14:paraId="5E7B77D8" w14:textId="6825BFA6" w:rsidR="00616760" w:rsidRDefault="0046261E" w:rsidP="0046261E">
      <w:pPr>
        <w:jc w:val="both"/>
      </w:pPr>
      <w:r>
        <w:t xml:space="preserve">Dalla sua introduzione, sulla base dei dati comunicati dall’Istat nel mese di dicembre 2021, si registra un indice FOI calcolato nella misura del 3,8% rispetto al dicembre 2020. Adeguamento che ha portato </w:t>
      </w:r>
      <w:r w:rsidR="00616760">
        <w:t>l’</w:t>
      </w:r>
      <w:r>
        <w:t xml:space="preserve">importo minimo </w:t>
      </w:r>
      <w:r w:rsidR="00616760">
        <w:t xml:space="preserve">da applicare per l’anno 2022 </w:t>
      </w:r>
      <w:r>
        <w:t xml:space="preserve">da Euro 800,00 a </w:t>
      </w:r>
      <w:r w:rsidRPr="00616760">
        <w:rPr>
          <w:b/>
          <w:bCs/>
        </w:rPr>
        <w:t>Euro 830,40</w:t>
      </w:r>
      <w:r w:rsidR="00616760">
        <w:t xml:space="preserve">. </w:t>
      </w:r>
      <w:r>
        <w:t xml:space="preserve">Per quanto riguarda il 2023, è stato pubblicato il 17 gennaio 2023 il comunicato stampa dell’ISTAT con il quale si </w:t>
      </w:r>
      <w:r w:rsidR="00616760">
        <w:t>era definito</w:t>
      </w:r>
      <w:r>
        <w:t xml:space="preserve"> l’indice nazionale dei prezzi al consumo per le famiglie di operai e impiegati (FOI), al netto dei tabacchi, aumenta dello 0,3% su base mensile e del 11,3% rispetto a dicembre 2021. Adeguamento che </w:t>
      </w:r>
      <w:r w:rsidR="00616760">
        <w:t>ha portato</w:t>
      </w:r>
      <w:r>
        <w:t xml:space="preserve"> per il 2023 </w:t>
      </w:r>
      <w:r w:rsidR="00616760">
        <w:t>l’</w:t>
      </w:r>
      <w:r>
        <w:t>incremento</w:t>
      </w:r>
      <w:r w:rsidR="00616760">
        <w:t xml:space="preserve"> dell’</w:t>
      </w:r>
      <w:r>
        <w:t xml:space="preserve">importo minimo da Euro 830,40 a </w:t>
      </w:r>
      <w:r w:rsidRPr="00616760">
        <w:rPr>
          <w:b/>
          <w:bCs/>
        </w:rPr>
        <w:t>Euro 924,24</w:t>
      </w:r>
      <w:r w:rsidR="00616760" w:rsidRPr="00616760">
        <w:t>.</w:t>
      </w:r>
      <w:r w:rsidR="00616760">
        <w:t xml:space="preserve"> Per il 2024 siamo in attesa del dato ufficiale, </w:t>
      </w:r>
      <w:r w:rsidR="00DE3991">
        <w:t>che sarà pubblicato nei prossimi giorni.</w:t>
      </w:r>
    </w:p>
    <w:p w14:paraId="6DED3E2A" w14:textId="77777777" w:rsidR="002629E4" w:rsidRDefault="002629E4" w:rsidP="005720D8">
      <w:pPr>
        <w:jc w:val="both"/>
      </w:pPr>
    </w:p>
    <w:p w14:paraId="74B9C37B" w14:textId="77777777" w:rsidR="009710E7" w:rsidRDefault="009710E7"/>
    <w:sectPr w:rsidR="009710E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DA"/>
    <w:rsid w:val="00216EBA"/>
    <w:rsid w:val="002629E4"/>
    <w:rsid w:val="004620C3"/>
    <w:rsid w:val="0046261E"/>
    <w:rsid w:val="00492118"/>
    <w:rsid w:val="00526B36"/>
    <w:rsid w:val="005720D8"/>
    <w:rsid w:val="00616760"/>
    <w:rsid w:val="006672EA"/>
    <w:rsid w:val="009710E7"/>
    <w:rsid w:val="00DE3991"/>
    <w:rsid w:val="00FB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47C9F"/>
  <w15:chartTrackingRefBased/>
  <w15:docId w15:val="{01E044B9-5A63-4CA7-A9EE-71EA8428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1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6</cp:revision>
  <dcterms:created xsi:type="dcterms:W3CDTF">2024-01-13T16:50:00Z</dcterms:created>
  <dcterms:modified xsi:type="dcterms:W3CDTF">2024-01-14T11:11:00Z</dcterms:modified>
</cp:coreProperties>
</file>