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2974AE" w14:textId="1A9BEF41" w:rsidR="005857DE" w:rsidRPr="00B22E90" w:rsidRDefault="00B22E90" w:rsidP="005857DE">
      <w:pPr>
        <w:autoSpaceDE w:val="0"/>
        <w:autoSpaceDN w:val="0"/>
        <w:adjustRightInd w:val="0"/>
        <w:spacing w:after="0" w:line="240" w:lineRule="auto"/>
        <w:rPr>
          <w:b/>
          <w:bCs/>
          <w:sz w:val="24"/>
          <w:szCs w:val="24"/>
        </w:rPr>
      </w:pPr>
      <w:r w:rsidRPr="00B22E90">
        <w:rPr>
          <w:b/>
          <w:bCs/>
          <w:sz w:val="24"/>
          <w:szCs w:val="24"/>
        </w:rPr>
        <w:t>Titolo</w:t>
      </w:r>
      <w:r w:rsidR="005857DE" w:rsidRPr="00B22E90">
        <w:rPr>
          <w:b/>
          <w:bCs/>
          <w:sz w:val="24"/>
          <w:szCs w:val="24"/>
        </w:rPr>
        <w:t xml:space="preserve">: </w:t>
      </w:r>
      <w:r w:rsidR="00D64156">
        <w:rPr>
          <w:b/>
          <w:bCs/>
          <w:sz w:val="24"/>
          <w:szCs w:val="24"/>
        </w:rPr>
        <w:t xml:space="preserve">Il </w:t>
      </w:r>
      <w:r w:rsidRPr="00B22E90">
        <w:rPr>
          <w:b/>
          <w:bCs/>
          <w:sz w:val="24"/>
          <w:szCs w:val="24"/>
        </w:rPr>
        <w:t xml:space="preserve">Consiglio di Stato legittima la costruzione </w:t>
      </w:r>
      <w:r w:rsidR="00D64156">
        <w:rPr>
          <w:b/>
          <w:bCs/>
          <w:sz w:val="24"/>
          <w:szCs w:val="24"/>
        </w:rPr>
        <w:t>tariffaria</w:t>
      </w:r>
      <w:r w:rsidRPr="00B22E90">
        <w:rPr>
          <w:b/>
          <w:bCs/>
          <w:sz w:val="24"/>
          <w:szCs w:val="24"/>
        </w:rPr>
        <w:t xml:space="preserve"> CUP per le diffusioni pubblicitarie</w:t>
      </w:r>
    </w:p>
    <w:p w14:paraId="7987784E" w14:textId="77777777" w:rsidR="005857DE" w:rsidRDefault="005857DE" w:rsidP="005857DE">
      <w:pPr>
        <w:autoSpaceDE w:val="0"/>
        <w:autoSpaceDN w:val="0"/>
        <w:adjustRightInd w:val="0"/>
        <w:spacing w:after="0" w:line="240" w:lineRule="auto"/>
      </w:pPr>
    </w:p>
    <w:p w14:paraId="52A579FB" w14:textId="6CB5EE02" w:rsidR="00CB5AB1" w:rsidRDefault="00CB5AB1" w:rsidP="005857DE">
      <w:pPr>
        <w:autoSpaceDE w:val="0"/>
        <w:autoSpaceDN w:val="0"/>
        <w:adjustRightInd w:val="0"/>
        <w:spacing w:after="0" w:line="240" w:lineRule="auto"/>
        <w:jc w:val="both"/>
        <w:rPr>
          <w:rFonts w:ascii="CIDFont+F1" w:hAnsi="CIDFont+F1" w:cs="CIDFont+F1"/>
          <w:kern w:val="0"/>
          <w:sz w:val="24"/>
          <w:szCs w:val="24"/>
        </w:rPr>
      </w:pPr>
      <w:r>
        <w:rPr>
          <w:rFonts w:ascii="CIDFont+F1" w:hAnsi="CIDFont+F1" w:cs="CIDFont+F1"/>
          <w:kern w:val="0"/>
          <w:sz w:val="24"/>
          <w:szCs w:val="24"/>
        </w:rPr>
        <w:t xml:space="preserve">Con la </w:t>
      </w:r>
      <w:r w:rsidRPr="00CB5AB1">
        <w:rPr>
          <w:rFonts w:ascii="CIDFont+F1" w:hAnsi="CIDFont+F1" w:cs="CIDFont+F1"/>
          <w:kern w:val="0"/>
          <w:sz w:val="24"/>
          <w:szCs w:val="24"/>
        </w:rPr>
        <w:t>sentenza n. 8846 del 10/10/2023</w:t>
      </w:r>
      <w:r>
        <w:rPr>
          <w:rFonts w:ascii="CIDFont+F1" w:hAnsi="CIDFont+F1" w:cs="CIDFont+F1"/>
          <w:kern w:val="0"/>
          <w:sz w:val="24"/>
          <w:szCs w:val="24"/>
        </w:rPr>
        <w:t>, il Consiglio di Stato si esprime circa la legittimità delle tariffe CUP deliberate dal comune utilizzando criteri ulteriori rispetto a quelli indicati dal comma 825 della Legge 160/2019.</w:t>
      </w:r>
    </w:p>
    <w:p w14:paraId="23A1CFD1" w14:textId="77777777" w:rsidR="00CB5AB1" w:rsidRDefault="00CB5AB1" w:rsidP="005857DE">
      <w:pPr>
        <w:autoSpaceDE w:val="0"/>
        <w:autoSpaceDN w:val="0"/>
        <w:adjustRightInd w:val="0"/>
        <w:spacing w:after="0" w:line="240" w:lineRule="auto"/>
        <w:jc w:val="both"/>
        <w:rPr>
          <w:rFonts w:ascii="CIDFont+F1" w:hAnsi="CIDFont+F1" w:cs="CIDFont+F1"/>
          <w:kern w:val="0"/>
          <w:sz w:val="24"/>
          <w:szCs w:val="24"/>
        </w:rPr>
      </w:pPr>
    </w:p>
    <w:p w14:paraId="663D5BFD" w14:textId="15E7CFC8" w:rsidR="00CB5AB1" w:rsidRDefault="00CB5AB1" w:rsidP="005857DE">
      <w:pPr>
        <w:autoSpaceDE w:val="0"/>
        <w:autoSpaceDN w:val="0"/>
        <w:adjustRightInd w:val="0"/>
        <w:spacing w:after="0" w:line="240" w:lineRule="auto"/>
        <w:jc w:val="both"/>
        <w:rPr>
          <w:rFonts w:ascii="CIDFont+F1" w:hAnsi="CIDFont+F1" w:cs="CIDFont+F1"/>
          <w:kern w:val="0"/>
          <w:sz w:val="24"/>
          <w:szCs w:val="24"/>
        </w:rPr>
      </w:pPr>
      <w:r>
        <w:rPr>
          <w:rFonts w:ascii="CIDFont+F1" w:hAnsi="CIDFont+F1" w:cs="CIDFont+F1"/>
          <w:kern w:val="0"/>
          <w:sz w:val="24"/>
          <w:szCs w:val="24"/>
        </w:rPr>
        <w:t xml:space="preserve">Nel ricorso proposto da una società che installa mezzi pubblicitari, venivano sottoposti al Consiglio di Stato </w:t>
      </w:r>
      <w:r w:rsidR="0096215D">
        <w:rPr>
          <w:rFonts w:ascii="CIDFont+F1" w:hAnsi="CIDFont+F1" w:cs="CIDFont+F1"/>
          <w:kern w:val="0"/>
          <w:sz w:val="24"/>
          <w:szCs w:val="24"/>
        </w:rPr>
        <w:t>cinque</w:t>
      </w:r>
      <w:r>
        <w:rPr>
          <w:rFonts w:ascii="CIDFont+F1" w:hAnsi="CIDFont+F1" w:cs="CIDFont+F1"/>
          <w:kern w:val="0"/>
          <w:sz w:val="24"/>
          <w:szCs w:val="24"/>
        </w:rPr>
        <w:t xml:space="preserve"> motivi per la riforma dei provvedimenti emessi da Roma Capitale.</w:t>
      </w:r>
    </w:p>
    <w:p w14:paraId="25A5B827" w14:textId="77777777" w:rsidR="00CB5AB1" w:rsidRDefault="00CB5AB1" w:rsidP="005857DE">
      <w:pPr>
        <w:autoSpaceDE w:val="0"/>
        <w:autoSpaceDN w:val="0"/>
        <w:adjustRightInd w:val="0"/>
        <w:spacing w:after="0" w:line="240" w:lineRule="auto"/>
        <w:jc w:val="both"/>
        <w:rPr>
          <w:rFonts w:ascii="CIDFont+F1" w:hAnsi="CIDFont+F1" w:cs="CIDFont+F1"/>
          <w:kern w:val="0"/>
          <w:sz w:val="24"/>
          <w:szCs w:val="24"/>
        </w:rPr>
      </w:pPr>
    </w:p>
    <w:p w14:paraId="162E5ACC" w14:textId="7B2C2F09" w:rsidR="005857DE" w:rsidRPr="00B22E90" w:rsidRDefault="005857DE" w:rsidP="005857DE">
      <w:pPr>
        <w:autoSpaceDE w:val="0"/>
        <w:autoSpaceDN w:val="0"/>
        <w:adjustRightInd w:val="0"/>
        <w:spacing w:after="0" w:line="240" w:lineRule="auto"/>
        <w:jc w:val="both"/>
        <w:rPr>
          <w:rFonts w:ascii="CIDFont+F1" w:hAnsi="CIDFont+F1" w:cs="CIDFont+F1"/>
          <w:kern w:val="0"/>
          <w:sz w:val="24"/>
          <w:szCs w:val="24"/>
        </w:rPr>
      </w:pPr>
      <w:r w:rsidRPr="00B22E90">
        <w:rPr>
          <w:rFonts w:ascii="CIDFont+F1" w:hAnsi="CIDFont+F1" w:cs="CIDFont+F1"/>
          <w:kern w:val="0"/>
          <w:sz w:val="24"/>
          <w:szCs w:val="24"/>
        </w:rPr>
        <w:t xml:space="preserve">Con il primo motivo, </w:t>
      </w:r>
      <w:r w:rsidR="00CB5AB1">
        <w:rPr>
          <w:rFonts w:ascii="CIDFont+F1" w:hAnsi="CIDFont+F1" w:cs="CIDFont+F1"/>
          <w:kern w:val="0"/>
          <w:sz w:val="24"/>
          <w:szCs w:val="24"/>
        </w:rPr>
        <w:t>la ricorrente</w:t>
      </w:r>
      <w:r w:rsidRPr="00B22E90">
        <w:rPr>
          <w:rFonts w:ascii="CIDFont+F1" w:hAnsi="CIDFont+F1" w:cs="CIDFont+F1"/>
          <w:kern w:val="0"/>
          <w:sz w:val="24"/>
          <w:szCs w:val="24"/>
        </w:rPr>
        <w:t xml:space="preserve"> lamenta la violazione </w:t>
      </w:r>
      <w:r w:rsidRPr="007549E1">
        <w:rPr>
          <w:rFonts w:ascii="CIDFont+F1" w:hAnsi="CIDFont+F1" w:cs="CIDFont+F1"/>
          <w:b/>
          <w:bCs/>
          <w:kern w:val="0"/>
          <w:sz w:val="24"/>
          <w:szCs w:val="24"/>
        </w:rPr>
        <w:t>dell’articolo 1</w:t>
      </w:r>
      <w:r w:rsidRPr="007549E1">
        <w:rPr>
          <w:rFonts w:ascii="CIDFont+F1" w:hAnsi="CIDFont+F1" w:cs="CIDFont+F1"/>
          <w:b/>
          <w:bCs/>
          <w:kern w:val="0"/>
          <w:sz w:val="24"/>
          <w:szCs w:val="24"/>
        </w:rPr>
        <w:t xml:space="preserve"> </w:t>
      </w:r>
      <w:r w:rsidRPr="007549E1">
        <w:rPr>
          <w:rFonts w:ascii="CIDFont+F1" w:hAnsi="CIDFont+F1" w:cs="CIDFont+F1"/>
          <w:b/>
          <w:bCs/>
          <w:kern w:val="0"/>
          <w:sz w:val="24"/>
          <w:szCs w:val="24"/>
        </w:rPr>
        <w:t>comma 817 della legge n. 160/2019</w:t>
      </w:r>
      <w:r w:rsidRPr="00B22E90">
        <w:rPr>
          <w:rFonts w:ascii="CIDFont+F1" w:hAnsi="CIDFont+F1" w:cs="CIDFont+F1"/>
          <w:kern w:val="0"/>
          <w:sz w:val="24"/>
          <w:szCs w:val="24"/>
        </w:rPr>
        <w:t xml:space="preserve"> in</w:t>
      </w:r>
      <w:r w:rsidRPr="00B22E90">
        <w:rPr>
          <w:rFonts w:ascii="CIDFont+F1" w:hAnsi="CIDFont+F1" w:cs="CIDFont+F1"/>
          <w:kern w:val="0"/>
          <w:sz w:val="24"/>
          <w:szCs w:val="24"/>
        </w:rPr>
        <w:t xml:space="preserve"> </w:t>
      </w:r>
      <w:r w:rsidRPr="00B22E90">
        <w:rPr>
          <w:rFonts w:ascii="CIDFont+F1" w:hAnsi="CIDFont+F1" w:cs="CIDFont+F1"/>
          <w:kern w:val="0"/>
          <w:sz w:val="24"/>
          <w:szCs w:val="24"/>
        </w:rPr>
        <w:t>quanto Roma Capitale</w:t>
      </w:r>
      <w:r w:rsidR="00CB5AB1">
        <w:rPr>
          <w:rFonts w:ascii="CIDFont+F1" w:hAnsi="CIDFont+F1" w:cs="CIDFont+F1"/>
          <w:kern w:val="0"/>
          <w:sz w:val="24"/>
          <w:szCs w:val="24"/>
        </w:rPr>
        <w:t xml:space="preserve"> </w:t>
      </w:r>
      <w:r w:rsidRPr="00B22E90">
        <w:rPr>
          <w:rFonts w:ascii="CIDFont+F1" w:hAnsi="CIDFont+F1" w:cs="CIDFont+F1"/>
          <w:kern w:val="0"/>
          <w:sz w:val="24"/>
          <w:szCs w:val="24"/>
        </w:rPr>
        <w:t>non avrebbe</w:t>
      </w:r>
      <w:r w:rsidRPr="00B22E90">
        <w:rPr>
          <w:rFonts w:ascii="CIDFont+F1" w:hAnsi="CIDFont+F1" w:cs="CIDFont+F1"/>
          <w:kern w:val="0"/>
          <w:sz w:val="24"/>
          <w:szCs w:val="24"/>
        </w:rPr>
        <w:t xml:space="preserve"> </w:t>
      </w:r>
      <w:r w:rsidRPr="00B22E90">
        <w:rPr>
          <w:rFonts w:ascii="CIDFont+F1" w:hAnsi="CIDFont+F1" w:cs="CIDFont+F1"/>
          <w:kern w:val="0"/>
          <w:sz w:val="24"/>
          <w:szCs w:val="24"/>
        </w:rPr>
        <w:t>rispettato il principio di tendenziale invarianza del gettito delineato dalla</w:t>
      </w:r>
      <w:r w:rsidRPr="00B22E90">
        <w:rPr>
          <w:rFonts w:ascii="CIDFont+F1" w:hAnsi="CIDFont+F1" w:cs="CIDFont+F1"/>
          <w:kern w:val="0"/>
          <w:sz w:val="24"/>
          <w:szCs w:val="24"/>
        </w:rPr>
        <w:t xml:space="preserve"> </w:t>
      </w:r>
      <w:r w:rsidRPr="00B22E90">
        <w:rPr>
          <w:rFonts w:ascii="CIDFont+F1" w:hAnsi="CIDFont+F1" w:cs="CIDFont+F1"/>
          <w:kern w:val="0"/>
          <w:sz w:val="24"/>
          <w:szCs w:val="24"/>
        </w:rPr>
        <w:t xml:space="preserve">disposizione citata secondo cui il </w:t>
      </w:r>
      <w:r w:rsidRPr="00B22E90">
        <w:rPr>
          <w:rFonts w:ascii="CIDFont+F2" w:hAnsi="CIDFont+F2" w:cs="CIDFont+F2"/>
          <w:kern w:val="0"/>
          <w:sz w:val="24"/>
          <w:szCs w:val="24"/>
        </w:rPr>
        <w:t xml:space="preserve">canone unico </w:t>
      </w:r>
      <w:r w:rsidRPr="00B22E90">
        <w:rPr>
          <w:rFonts w:ascii="CIDFont+F1" w:hAnsi="CIDFont+F1" w:cs="CIDFont+F1"/>
          <w:kern w:val="0"/>
          <w:sz w:val="24"/>
          <w:szCs w:val="24"/>
        </w:rPr>
        <w:t xml:space="preserve">patrimoniale </w:t>
      </w:r>
      <w:r w:rsidRPr="00CB5AB1">
        <w:rPr>
          <w:rFonts w:ascii="CIDFont+F1" w:hAnsi="CIDFont+F1" w:cs="CIDFont+F1"/>
          <w:i/>
          <w:iCs/>
          <w:kern w:val="0"/>
          <w:sz w:val="24"/>
          <w:szCs w:val="24"/>
        </w:rPr>
        <w:t>“è</w:t>
      </w:r>
      <w:r w:rsidRPr="00CB5AB1">
        <w:rPr>
          <w:rFonts w:ascii="CIDFont+F1" w:hAnsi="CIDFont+F1" w:cs="CIDFont+F1"/>
          <w:i/>
          <w:iCs/>
          <w:kern w:val="0"/>
          <w:sz w:val="24"/>
          <w:szCs w:val="24"/>
        </w:rPr>
        <w:t xml:space="preserve"> </w:t>
      </w:r>
      <w:r w:rsidRPr="00CB5AB1">
        <w:rPr>
          <w:rFonts w:ascii="CIDFont+F1" w:hAnsi="CIDFont+F1" w:cs="CIDFont+F1"/>
          <w:i/>
          <w:iCs/>
          <w:kern w:val="0"/>
          <w:sz w:val="24"/>
          <w:szCs w:val="24"/>
        </w:rPr>
        <w:t>disciplinato dagli enti in modo da assicurare un gettito pari a quello</w:t>
      </w:r>
      <w:r w:rsidRPr="00CB5AB1">
        <w:rPr>
          <w:rFonts w:ascii="CIDFont+F1" w:hAnsi="CIDFont+F1" w:cs="CIDFont+F1"/>
          <w:i/>
          <w:iCs/>
          <w:kern w:val="0"/>
          <w:sz w:val="24"/>
          <w:szCs w:val="24"/>
        </w:rPr>
        <w:t xml:space="preserve"> </w:t>
      </w:r>
      <w:r w:rsidRPr="00CB5AB1">
        <w:rPr>
          <w:rFonts w:ascii="CIDFont+F1" w:hAnsi="CIDFont+F1" w:cs="CIDFont+F1"/>
          <w:i/>
          <w:iCs/>
          <w:kern w:val="0"/>
          <w:sz w:val="24"/>
          <w:szCs w:val="24"/>
        </w:rPr>
        <w:t>conseguito dai canoni e dai tributi che sono sostituiti dal canone...”.</w:t>
      </w:r>
    </w:p>
    <w:p w14:paraId="7E8ECE10" w14:textId="77777777" w:rsidR="005857DE" w:rsidRPr="00B22E90" w:rsidRDefault="005857DE" w:rsidP="005857DE">
      <w:pPr>
        <w:autoSpaceDE w:val="0"/>
        <w:autoSpaceDN w:val="0"/>
        <w:adjustRightInd w:val="0"/>
        <w:spacing w:after="0" w:line="240" w:lineRule="auto"/>
        <w:jc w:val="both"/>
        <w:rPr>
          <w:rFonts w:ascii="CIDFont+F1" w:hAnsi="CIDFont+F1" w:cs="CIDFont+F1"/>
          <w:kern w:val="0"/>
          <w:sz w:val="24"/>
          <w:szCs w:val="24"/>
        </w:rPr>
      </w:pPr>
    </w:p>
    <w:p w14:paraId="4944BCD2" w14:textId="62518706" w:rsidR="005857DE" w:rsidRPr="00B22E90" w:rsidRDefault="005857DE" w:rsidP="005857DE">
      <w:pPr>
        <w:autoSpaceDE w:val="0"/>
        <w:autoSpaceDN w:val="0"/>
        <w:adjustRightInd w:val="0"/>
        <w:spacing w:after="0" w:line="240" w:lineRule="auto"/>
        <w:jc w:val="both"/>
        <w:rPr>
          <w:rFonts w:ascii="CIDFont+F1" w:hAnsi="CIDFont+F1" w:cs="CIDFont+F1"/>
          <w:kern w:val="0"/>
          <w:sz w:val="24"/>
          <w:szCs w:val="24"/>
        </w:rPr>
      </w:pPr>
      <w:r w:rsidRPr="00B22E90">
        <w:rPr>
          <w:rFonts w:ascii="CIDFont+F1" w:hAnsi="CIDFont+F1" w:cs="CIDFont+F1"/>
          <w:kern w:val="0"/>
          <w:sz w:val="24"/>
          <w:szCs w:val="24"/>
        </w:rPr>
        <w:t>Con il secondo motivo di ricorso viene dedotta la violazione</w:t>
      </w:r>
      <w:r w:rsidRPr="00B22E90">
        <w:rPr>
          <w:rFonts w:ascii="CIDFont+F1" w:hAnsi="CIDFont+F1" w:cs="CIDFont+F1"/>
          <w:kern w:val="0"/>
          <w:sz w:val="24"/>
          <w:szCs w:val="24"/>
        </w:rPr>
        <w:t xml:space="preserve"> </w:t>
      </w:r>
      <w:r w:rsidRPr="007549E1">
        <w:rPr>
          <w:rFonts w:ascii="CIDFont+F1" w:hAnsi="CIDFont+F1" w:cs="CIDFont+F1"/>
          <w:b/>
          <w:bCs/>
          <w:kern w:val="0"/>
          <w:sz w:val="24"/>
          <w:szCs w:val="24"/>
        </w:rPr>
        <w:t>dell’articolo 1, comma 825, della legge n. 160/2019</w:t>
      </w:r>
      <w:r w:rsidRPr="00B22E90">
        <w:rPr>
          <w:rFonts w:ascii="CIDFont+F1" w:hAnsi="CIDFont+F1" w:cs="CIDFont+F1"/>
          <w:kern w:val="0"/>
          <w:sz w:val="24"/>
          <w:szCs w:val="24"/>
        </w:rPr>
        <w:t xml:space="preserve">, secondo cui </w:t>
      </w:r>
      <w:r w:rsidRPr="00CB5AB1">
        <w:rPr>
          <w:rFonts w:ascii="CIDFont+F1" w:hAnsi="CIDFont+F1" w:cs="CIDFont+F1"/>
          <w:i/>
          <w:iCs/>
          <w:kern w:val="0"/>
          <w:sz w:val="24"/>
          <w:szCs w:val="24"/>
        </w:rPr>
        <w:t>“per la</w:t>
      </w:r>
      <w:r w:rsidRPr="00CB5AB1">
        <w:rPr>
          <w:rFonts w:ascii="CIDFont+F1" w:hAnsi="CIDFont+F1" w:cs="CIDFont+F1"/>
          <w:i/>
          <w:iCs/>
          <w:kern w:val="0"/>
          <w:sz w:val="24"/>
          <w:szCs w:val="24"/>
        </w:rPr>
        <w:t xml:space="preserve"> </w:t>
      </w:r>
      <w:r w:rsidRPr="00CB5AB1">
        <w:rPr>
          <w:rFonts w:ascii="CIDFont+F1" w:hAnsi="CIDFont+F1" w:cs="CIDFont+F1"/>
          <w:i/>
          <w:iCs/>
          <w:kern w:val="0"/>
          <w:sz w:val="24"/>
          <w:szCs w:val="24"/>
        </w:rPr>
        <w:t>diffusione di</w:t>
      </w:r>
      <w:r w:rsidR="00CB5AB1" w:rsidRPr="00CB5AB1">
        <w:rPr>
          <w:rFonts w:ascii="CIDFont+F1" w:hAnsi="CIDFont+F1" w:cs="CIDFont+F1"/>
          <w:i/>
          <w:iCs/>
          <w:kern w:val="0"/>
          <w:sz w:val="24"/>
          <w:szCs w:val="24"/>
        </w:rPr>
        <w:t xml:space="preserve"> </w:t>
      </w:r>
      <w:r w:rsidRPr="00CB5AB1">
        <w:rPr>
          <w:rFonts w:ascii="CIDFont+F1" w:hAnsi="CIDFont+F1" w:cs="CIDFont+F1"/>
          <w:i/>
          <w:iCs/>
          <w:kern w:val="0"/>
          <w:sz w:val="24"/>
          <w:szCs w:val="24"/>
        </w:rPr>
        <w:t>messaggi pubblicitari di cui al comma 819, lettera b), il</w:t>
      </w:r>
      <w:r w:rsidRPr="00CB5AB1">
        <w:rPr>
          <w:rFonts w:ascii="CIDFont+F1" w:hAnsi="CIDFont+F1" w:cs="CIDFont+F1"/>
          <w:i/>
          <w:iCs/>
          <w:kern w:val="0"/>
          <w:sz w:val="24"/>
          <w:szCs w:val="24"/>
        </w:rPr>
        <w:t xml:space="preserve"> </w:t>
      </w:r>
      <w:r w:rsidRPr="00CB5AB1">
        <w:rPr>
          <w:rFonts w:ascii="CIDFont+F1" w:hAnsi="CIDFont+F1" w:cs="CIDFont+F1"/>
          <w:i/>
          <w:iCs/>
          <w:kern w:val="0"/>
          <w:sz w:val="24"/>
          <w:szCs w:val="24"/>
        </w:rPr>
        <w:t>canone è determinato in base alla superficie complessiva del mezzo</w:t>
      </w:r>
      <w:r w:rsidRPr="00CB5AB1">
        <w:rPr>
          <w:rFonts w:ascii="CIDFont+F1" w:hAnsi="CIDFont+F1" w:cs="CIDFont+F1"/>
          <w:i/>
          <w:iCs/>
          <w:kern w:val="0"/>
          <w:sz w:val="24"/>
          <w:szCs w:val="24"/>
        </w:rPr>
        <w:t xml:space="preserve"> </w:t>
      </w:r>
      <w:r w:rsidRPr="00CB5AB1">
        <w:rPr>
          <w:rFonts w:ascii="CIDFont+F1" w:hAnsi="CIDFont+F1" w:cs="CIDFont+F1"/>
          <w:i/>
          <w:iCs/>
          <w:kern w:val="0"/>
          <w:sz w:val="24"/>
          <w:szCs w:val="24"/>
        </w:rPr>
        <w:t>pubblicitario, calcolata in metri quadrati, indipendentemente dal tipo e</w:t>
      </w:r>
      <w:r w:rsidRPr="00CB5AB1">
        <w:rPr>
          <w:rFonts w:ascii="CIDFont+F1" w:hAnsi="CIDFont+F1" w:cs="CIDFont+F1"/>
          <w:i/>
          <w:iCs/>
          <w:kern w:val="0"/>
          <w:sz w:val="24"/>
          <w:szCs w:val="24"/>
        </w:rPr>
        <w:t xml:space="preserve"> </w:t>
      </w:r>
      <w:r w:rsidRPr="00CB5AB1">
        <w:rPr>
          <w:rFonts w:ascii="CIDFont+F1" w:hAnsi="CIDFont+F1" w:cs="CIDFont+F1"/>
          <w:i/>
          <w:iCs/>
          <w:kern w:val="0"/>
          <w:sz w:val="24"/>
          <w:szCs w:val="24"/>
        </w:rPr>
        <w:t>dal numero dei messaggi …”</w:t>
      </w:r>
      <w:r w:rsidRPr="00B22E90">
        <w:rPr>
          <w:rFonts w:ascii="CIDFont+F1" w:hAnsi="CIDFont+F1" w:cs="CIDFont+F1"/>
          <w:kern w:val="0"/>
          <w:sz w:val="24"/>
          <w:szCs w:val="24"/>
        </w:rPr>
        <w:t>. Ne deriva, ad avviso della ricorrente, che</w:t>
      </w:r>
      <w:r w:rsidRPr="00B22E90">
        <w:rPr>
          <w:rFonts w:ascii="CIDFont+F1" w:hAnsi="CIDFont+F1" w:cs="CIDFont+F1"/>
          <w:kern w:val="0"/>
          <w:sz w:val="24"/>
          <w:szCs w:val="24"/>
        </w:rPr>
        <w:t xml:space="preserve"> </w:t>
      </w:r>
      <w:r w:rsidRPr="00B22E90">
        <w:rPr>
          <w:rFonts w:ascii="CIDFont+F1" w:hAnsi="CIDFont+F1" w:cs="CIDFont+F1"/>
          <w:kern w:val="0"/>
          <w:sz w:val="24"/>
          <w:szCs w:val="24"/>
        </w:rPr>
        <w:t>Roma Capitale, nelle determinazioni gravate, avrebbe errato nel</w:t>
      </w:r>
      <w:r w:rsidRPr="00B22E90">
        <w:rPr>
          <w:rFonts w:ascii="CIDFont+F1" w:hAnsi="CIDFont+F1" w:cs="CIDFont+F1"/>
          <w:kern w:val="0"/>
          <w:sz w:val="24"/>
          <w:szCs w:val="24"/>
        </w:rPr>
        <w:t xml:space="preserve"> </w:t>
      </w:r>
      <w:r w:rsidRPr="00B22E90">
        <w:rPr>
          <w:rFonts w:ascii="CIDFont+F1" w:hAnsi="CIDFont+F1" w:cs="CIDFont+F1"/>
          <w:kern w:val="0"/>
          <w:sz w:val="24"/>
          <w:szCs w:val="24"/>
        </w:rPr>
        <w:t>parametrare il canone alla tipologia di impianto pubblicitario e a quella</w:t>
      </w:r>
      <w:r w:rsidRPr="00B22E90">
        <w:rPr>
          <w:rFonts w:ascii="CIDFont+F1" w:hAnsi="CIDFont+F1" w:cs="CIDFont+F1"/>
          <w:kern w:val="0"/>
          <w:sz w:val="24"/>
          <w:szCs w:val="24"/>
        </w:rPr>
        <w:t xml:space="preserve"> </w:t>
      </w:r>
      <w:r w:rsidRPr="00B22E90">
        <w:rPr>
          <w:rFonts w:ascii="CIDFont+F1" w:hAnsi="CIDFont+F1" w:cs="CIDFont+F1"/>
          <w:kern w:val="0"/>
          <w:sz w:val="24"/>
          <w:szCs w:val="24"/>
        </w:rPr>
        <w:t>dell’ubicazione dell’impianto, laddove avrebbe dovuto utilizzare</w:t>
      </w:r>
      <w:r w:rsidRPr="00B22E90">
        <w:rPr>
          <w:rFonts w:ascii="CIDFont+F1" w:hAnsi="CIDFont+F1" w:cs="CIDFont+F1"/>
          <w:kern w:val="0"/>
          <w:sz w:val="24"/>
          <w:szCs w:val="24"/>
        </w:rPr>
        <w:t xml:space="preserve"> </w:t>
      </w:r>
      <w:r w:rsidRPr="00B22E90">
        <w:rPr>
          <w:rFonts w:ascii="CIDFont+F1" w:hAnsi="CIDFont+F1" w:cs="CIDFont+F1"/>
          <w:kern w:val="0"/>
          <w:sz w:val="24"/>
          <w:szCs w:val="24"/>
        </w:rPr>
        <w:t>unicamente il parametro della superficie del mezzo pubblicitario.</w:t>
      </w:r>
    </w:p>
    <w:p w14:paraId="37BCEEAA" w14:textId="77777777" w:rsidR="005857DE" w:rsidRPr="00B22E90" w:rsidRDefault="005857DE" w:rsidP="005857DE">
      <w:pPr>
        <w:autoSpaceDE w:val="0"/>
        <w:autoSpaceDN w:val="0"/>
        <w:adjustRightInd w:val="0"/>
        <w:spacing w:after="0" w:line="240" w:lineRule="auto"/>
        <w:jc w:val="both"/>
        <w:rPr>
          <w:rFonts w:ascii="CIDFont+F1" w:hAnsi="CIDFont+F1" w:cs="CIDFont+F1"/>
          <w:kern w:val="0"/>
          <w:sz w:val="24"/>
          <w:szCs w:val="24"/>
        </w:rPr>
      </w:pPr>
    </w:p>
    <w:p w14:paraId="11346978" w14:textId="5688D318" w:rsidR="00060149" w:rsidRDefault="005857DE" w:rsidP="005857DE">
      <w:pPr>
        <w:autoSpaceDE w:val="0"/>
        <w:autoSpaceDN w:val="0"/>
        <w:adjustRightInd w:val="0"/>
        <w:spacing w:after="0" w:line="240" w:lineRule="auto"/>
        <w:jc w:val="both"/>
        <w:rPr>
          <w:rFonts w:ascii="CIDFont+F1" w:hAnsi="CIDFont+F1" w:cs="CIDFont+F1"/>
          <w:i/>
          <w:iCs/>
          <w:kern w:val="0"/>
          <w:sz w:val="24"/>
          <w:szCs w:val="24"/>
        </w:rPr>
      </w:pPr>
      <w:r w:rsidRPr="00B22E90">
        <w:rPr>
          <w:rFonts w:ascii="CIDFont+F1" w:hAnsi="CIDFont+F1" w:cs="CIDFont+F1"/>
          <w:kern w:val="0"/>
          <w:sz w:val="24"/>
          <w:szCs w:val="24"/>
        </w:rPr>
        <w:t xml:space="preserve">Con il terzo motivo di ricorso </w:t>
      </w:r>
      <w:r w:rsidR="00CB5AB1">
        <w:rPr>
          <w:rFonts w:ascii="CIDFont+F1" w:hAnsi="CIDFont+F1" w:cs="CIDFont+F1"/>
          <w:kern w:val="0"/>
          <w:sz w:val="24"/>
          <w:szCs w:val="24"/>
        </w:rPr>
        <w:t>la ricorrente</w:t>
      </w:r>
      <w:r w:rsidRPr="00B22E90">
        <w:rPr>
          <w:rFonts w:ascii="CIDFont+F1" w:hAnsi="CIDFont+F1" w:cs="CIDFont+F1"/>
          <w:kern w:val="0"/>
          <w:sz w:val="24"/>
          <w:szCs w:val="24"/>
        </w:rPr>
        <w:t xml:space="preserve"> lamenta la violazione</w:t>
      </w:r>
      <w:r w:rsidRPr="00B22E90">
        <w:rPr>
          <w:rFonts w:ascii="CIDFont+F1" w:hAnsi="CIDFont+F1" w:cs="CIDFont+F1"/>
          <w:kern w:val="0"/>
          <w:sz w:val="24"/>
          <w:szCs w:val="24"/>
        </w:rPr>
        <w:t xml:space="preserve"> </w:t>
      </w:r>
      <w:r w:rsidRPr="007549E1">
        <w:rPr>
          <w:rFonts w:ascii="CIDFont+F1" w:hAnsi="CIDFont+F1" w:cs="CIDFont+F1"/>
          <w:b/>
          <w:bCs/>
          <w:kern w:val="0"/>
          <w:sz w:val="24"/>
          <w:szCs w:val="24"/>
        </w:rPr>
        <w:t>dell’articolo 1,</w:t>
      </w:r>
      <w:r w:rsidRPr="007549E1">
        <w:rPr>
          <w:rFonts w:ascii="CIDFont+F1" w:hAnsi="CIDFont+F1" w:cs="CIDFont+F1"/>
          <w:b/>
          <w:bCs/>
          <w:kern w:val="0"/>
          <w:sz w:val="24"/>
          <w:szCs w:val="24"/>
        </w:rPr>
        <w:t xml:space="preserve"> </w:t>
      </w:r>
      <w:r w:rsidRPr="007549E1">
        <w:rPr>
          <w:rFonts w:ascii="CIDFont+F1" w:hAnsi="CIDFont+F1" w:cs="CIDFont+F1"/>
          <w:b/>
          <w:bCs/>
          <w:kern w:val="0"/>
          <w:sz w:val="24"/>
          <w:szCs w:val="24"/>
        </w:rPr>
        <w:t>comma 820, della legge n. 160/2019</w:t>
      </w:r>
      <w:r w:rsidRPr="00B22E90">
        <w:rPr>
          <w:rFonts w:ascii="CIDFont+F1" w:hAnsi="CIDFont+F1" w:cs="CIDFont+F1"/>
          <w:kern w:val="0"/>
          <w:sz w:val="24"/>
          <w:szCs w:val="24"/>
        </w:rPr>
        <w:t>, secondo cui</w:t>
      </w:r>
      <w:r w:rsidRPr="00B22E90">
        <w:rPr>
          <w:rFonts w:ascii="CIDFont+F1" w:hAnsi="CIDFont+F1" w:cs="CIDFont+F1"/>
          <w:kern w:val="0"/>
          <w:sz w:val="24"/>
          <w:szCs w:val="24"/>
        </w:rPr>
        <w:t xml:space="preserve"> </w:t>
      </w:r>
      <w:r w:rsidRPr="00CB5AB1">
        <w:rPr>
          <w:rFonts w:ascii="CIDFont+F1" w:hAnsi="CIDFont+F1" w:cs="CIDFont+F1"/>
          <w:i/>
          <w:iCs/>
          <w:kern w:val="0"/>
          <w:sz w:val="24"/>
          <w:szCs w:val="24"/>
        </w:rPr>
        <w:t>“l'applicazione del canone dovuto per la diffusione dei messaggi</w:t>
      </w:r>
      <w:r w:rsidRPr="00CB5AB1">
        <w:rPr>
          <w:rFonts w:ascii="CIDFont+F1" w:hAnsi="CIDFont+F1" w:cs="CIDFont+F1"/>
          <w:i/>
          <w:iCs/>
          <w:kern w:val="0"/>
          <w:sz w:val="24"/>
          <w:szCs w:val="24"/>
        </w:rPr>
        <w:t xml:space="preserve"> </w:t>
      </w:r>
      <w:r w:rsidRPr="00CB5AB1">
        <w:rPr>
          <w:rFonts w:ascii="CIDFont+F1" w:hAnsi="CIDFont+F1" w:cs="CIDFont+F1"/>
          <w:i/>
          <w:iCs/>
          <w:kern w:val="0"/>
          <w:sz w:val="24"/>
          <w:szCs w:val="24"/>
        </w:rPr>
        <w:t>pubblicitari di cui alla lettera b) del comma 819 esclude l'applicazione</w:t>
      </w:r>
      <w:r w:rsidRPr="00CB5AB1">
        <w:rPr>
          <w:rFonts w:ascii="CIDFont+F1" w:hAnsi="CIDFont+F1" w:cs="CIDFont+F1"/>
          <w:i/>
          <w:iCs/>
          <w:kern w:val="0"/>
          <w:sz w:val="24"/>
          <w:szCs w:val="24"/>
        </w:rPr>
        <w:t xml:space="preserve"> </w:t>
      </w:r>
      <w:r w:rsidRPr="00CB5AB1">
        <w:rPr>
          <w:rFonts w:ascii="CIDFont+F1" w:hAnsi="CIDFont+F1" w:cs="CIDFont+F1"/>
          <w:i/>
          <w:iCs/>
          <w:kern w:val="0"/>
          <w:sz w:val="24"/>
          <w:szCs w:val="24"/>
        </w:rPr>
        <w:t>del canone dovuto per le occupazioni di cui alla lettera a) del medesimo</w:t>
      </w:r>
      <w:r w:rsidRPr="00CB5AB1">
        <w:rPr>
          <w:rFonts w:ascii="CIDFont+F1" w:hAnsi="CIDFont+F1" w:cs="CIDFont+F1"/>
          <w:i/>
          <w:iCs/>
          <w:kern w:val="0"/>
          <w:sz w:val="24"/>
          <w:szCs w:val="24"/>
        </w:rPr>
        <w:t xml:space="preserve"> </w:t>
      </w:r>
      <w:r w:rsidRPr="00CB5AB1">
        <w:rPr>
          <w:rFonts w:ascii="CIDFont+F1" w:hAnsi="CIDFont+F1" w:cs="CIDFont+F1"/>
          <w:i/>
          <w:iCs/>
          <w:kern w:val="0"/>
          <w:sz w:val="24"/>
          <w:szCs w:val="24"/>
        </w:rPr>
        <w:t>comma”.</w:t>
      </w:r>
    </w:p>
    <w:p w14:paraId="7DB060B5" w14:textId="77777777" w:rsidR="0096215D" w:rsidRDefault="0096215D" w:rsidP="005857DE">
      <w:pPr>
        <w:autoSpaceDE w:val="0"/>
        <w:autoSpaceDN w:val="0"/>
        <w:adjustRightInd w:val="0"/>
        <w:spacing w:after="0" w:line="240" w:lineRule="auto"/>
        <w:jc w:val="both"/>
        <w:rPr>
          <w:rFonts w:ascii="CIDFont+F1" w:hAnsi="CIDFont+F1" w:cs="CIDFont+F1"/>
          <w:i/>
          <w:iCs/>
          <w:kern w:val="0"/>
          <w:sz w:val="24"/>
          <w:szCs w:val="24"/>
        </w:rPr>
      </w:pPr>
    </w:p>
    <w:p w14:paraId="1A75846B" w14:textId="0E89E341" w:rsidR="0096215D" w:rsidRDefault="0096215D" w:rsidP="0096215D">
      <w:pPr>
        <w:autoSpaceDE w:val="0"/>
        <w:autoSpaceDN w:val="0"/>
        <w:adjustRightInd w:val="0"/>
        <w:spacing w:after="0" w:line="240" w:lineRule="auto"/>
        <w:jc w:val="both"/>
        <w:rPr>
          <w:rFonts w:ascii="CIDFont+F1" w:hAnsi="CIDFont+F1" w:cs="CIDFont+F1"/>
          <w:b/>
          <w:bCs/>
          <w:kern w:val="0"/>
          <w:sz w:val="24"/>
          <w:szCs w:val="24"/>
        </w:rPr>
      </w:pPr>
      <w:bookmarkStart w:id="0" w:name="_Hlk148003978"/>
      <w:r w:rsidRPr="0096215D">
        <w:rPr>
          <w:rFonts w:ascii="CIDFont+F1" w:hAnsi="CIDFont+F1" w:cs="CIDFont+F1"/>
          <w:kern w:val="0"/>
          <w:sz w:val="24"/>
          <w:szCs w:val="24"/>
        </w:rPr>
        <w:t xml:space="preserve">Con il quarto motivo di ricorso </w:t>
      </w:r>
      <w:r>
        <w:rPr>
          <w:rFonts w:ascii="CIDFont+F1" w:hAnsi="CIDFont+F1" w:cs="CIDFont+F1"/>
          <w:kern w:val="0"/>
          <w:sz w:val="24"/>
          <w:szCs w:val="24"/>
        </w:rPr>
        <w:t>la ricorrente</w:t>
      </w:r>
      <w:r w:rsidRPr="0096215D">
        <w:rPr>
          <w:rFonts w:ascii="CIDFont+F1" w:hAnsi="CIDFont+F1" w:cs="CIDFont+F1"/>
          <w:kern w:val="0"/>
          <w:sz w:val="24"/>
          <w:szCs w:val="24"/>
        </w:rPr>
        <w:t xml:space="preserve"> evidenzia la manifesta</w:t>
      </w:r>
      <w:r>
        <w:rPr>
          <w:rFonts w:ascii="CIDFont+F1" w:hAnsi="CIDFont+F1" w:cs="CIDFont+F1"/>
          <w:kern w:val="0"/>
          <w:sz w:val="24"/>
          <w:szCs w:val="24"/>
        </w:rPr>
        <w:t xml:space="preserve"> </w:t>
      </w:r>
      <w:r w:rsidRPr="0096215D">
        <w:rPr>
          <w:rFonts w:ascii="CIDFont+F1" w:hAnsi="CIDFont+F1" w:cs="CIDFont+F1"/>
          <w:kern w:val="0"/>
          <w:sz w:val="24"/>
          <w:szCs w:val="24"/>
        </w:rPr>
        <w:t>irragionevolezza della c.d. tariffa giornaliera e della c.d. tariffa standard</w:t>
      </w:r>
      <w:r>
        <w:rPr>
          <w:rFonts w:ascii="CIDFont+F1" w:hAnsi="CIDFont+F1" w:cs="CIDFont+F1"/>
          <w:kern w:val="0"/>
          <w:sz w:val="24"/>
          <w:szCs w:val="24"/>
        </w:rPr>
        <w:t xml:space="preserve"> </w:t>
      </w:r>
      <w:bookmarkEnd w:id="0"/>
      <w:r w:rsidRPr="0096215D">
        <w:rPr>
          <w:rFonts w:ascii="CIDFont+F1" w:hAnsi="CIDFont+F1" w:cs="CIDFont+F1"/>
          <w:kern w:val="0"/>
          <w:sz w:val="24"/>
          <w:szCs w:val="24"/>
        </w:rPr>
        <w:t>per determinare il canone in quanto secondo l’attuale disciplina si</w:t>
      </w:r>
      <w:r>
        <w:rPr>
          <w:rFonts w:ascii="CIDFont+F1" w:hAnsi="CIDFont+F1" w:cs="CIDFont+F1"/>
          <w:kern w:val="0"/>
          <w:sz w:val="24"/>
          <w:szCs w:val="24"/>
        </w:rPr>
        <w:t xml:space="preserve"> </w:t>
      </w:r>
      <w:r w:rsidRPr="0096215D">
        <w:rPr>
          <w:rFonts w:ascii="CIDFont+F1" w:hAnsi="CIDFont+F1" w:cs="CIDFont+F1"/>
          <w:kern w:val="0"/>
          <w:sz w:val="24"/>
          <w:szCs w:val="24"/>
        </w:rPr>
        <w:t>dovrebbe corrispondere, a titolo di canone unico patrimoniale, una cifra</w:t>
      </w:r>
      <w:r>
        <w:rPr>
          <w:rFonts w:ascii="CIDFont+F1" w:hAnsi="CIDFont+F1" w:cs="CIDFont+F1"/>
          <w:kern w:val="0"/>
          <w:sz w:val="24"/>
          <w:szCs w:val="24"/>
        </w:rPr>
        <w:t xml:space="preserve"> </w:t>
      </w:r>
      <w:r w:rsidRPr="0096215D">
        <w:rPr>
          <w:rFonts w:ascii="CIDFont+F1" w:hAnsi="CIDFont+F1" w:cs="CIDFont+F1"/>
          <w:kern w:val="0"/>
          <w:sz w:val="24"/>
          <w:szCs w:val="24"/>
        </w:rPr>
        <w:t>maggiore per un tempo di affissione minore</w:t>
      </w:r>
      <w:r>
        <w:rPr>
          <w:rFonts w:ascii="CIDFont+F1" w:hAnsi="CIDFont+F1" w:cs="CIDFont+F1"/>
          <w:kern w:val="0"/>
          <w:sz w:val="24"/>
          <w:szCs w:val="24"/>
        </w:rPr>
        <w:t xml:space="preserve">. Entra in discussione il meccanismo voluto dal </w:t>
      </w:r>
      <w:r w:rsidRPr="0096215D">
        <w:rPr>
          <w:rFonts w:ascii="CIDFont+F1" w:hAnsi="CIDFont+F1" w:cs="CIDFont+F1"/>
          <w:b/>
          <w:bCs/>
          <w:kern w:val="0"/>
          <w:sz w:val="24"/>
          <w:szCs w:val="24"/>
        </w:rPr>
        <w:t>comma 82</w:t>
      </w:r>
      <w:r>
        <w:rPr>
          <w:rFonts w:ascii="CIDFont+F1" w:hAnsi="CIDFont+F1" w:cs="CIDFont+F1"/>
          <w:b/>
          <w:bCs/>
          <w:kern w:val="0"/>
          <w:sz w:val="24"/>
          <w:szCs w:val="24"/>
        </w:rPr>
        <w:t>7</w:t>
      </w:r>
      <w:r w:rsidRPr="0096215D">
        <w:rPr>
          <w:rFonts w:ascii="CIDFont+F1" w:hAnsi="CIDFont+F1" w:cs="CIDFont+F1"/>
          <w:b/>
          <w:bCs/>
          <w:kern w:val="0"/>
          <w:sz w:val="24"/>
          <w:szCs w:val="24"/>
        </w:rPr>
        <w:t xml:space="preserve"> </w:t>
      </w:r>
      <w:r w:rsidRPr="007549E1">
        <w:rPr>
          <w:rFonts w:ascii="CIDFont+F1" w:hAnsi="CIDFont+F1" w:cs="CIDFont+F1"/>
          <w:b/>
          <w:bCs/>
          <w:kern w:val="0"/>
          <w:sz w:val="24"/>
          <w:szCs w:val="24"/>
        </w:rPr>
        <w:t>della legge n. 160/2019</w:t>
      </w:r>
    </w:p>
    <w:p w14:paraId="0703B5C4" w14:textId="77777777" w:rsidR="0096215D" w:rsidRDefault="0096215D" w:rsidP="0096215D">
      <w:pPr>
        <w:autoSpaceDE w:val="0"/>
        <w:autoSpaceDN w:val="0"/>
        <w:adjustRightInd w:val="0"/>
        <w:spacing w:after="0" w:line="240" w:lineRule="auto"/>
        <w:jc w:val="both"/>
        <w:rPr>
          <w:rFonts w:ascii="CIDFont+F1" w:hAnsi="CIDFont+F1" w:cs="CIDFont+F1"/>
          <w:b/>
          <w:bCs/>
          <w:kern w:val="0"/>
          <w:sz w:val="24"/>
          <w:szCs w:val="24"/>
        </w:rPr>
      </w:pPr>
    </w:p>
    <w:p w14:paraId="502F51C6" w14:textId="70758119" w:rsidR="0096215D" w:rsidRPr="0096215D" w:rsidRDefault="0096215D" w:rsidP="0096215D">
      <w:pPr>
        <w:autoSpaceDE w:val="0"/>
        <w:autoSpaceDN w:val="0"/>
        <w:adjustRightInd w:val="0"/>
        <w:spacing w:after="0" w:line="240" w:lineRule="auto"/>
        <w:jc w:val="both"/>
        <w:rPr>
          <w:rFonts w:ascii="CIDFont+F1" w:hAnsi="CIDFont+F1" w:cs="CIDFont+F1"/>
          <w:kern w:val="0"/>
          <w:sz w:val="24"/>
          <w:szCs w:val="24"/>
        </w:rPr>
      </w:pPr>
      <w:r w:rsidRPr="0096215D">
        <w:rPr>
          <w:rFonts w:ascii="CIDFont+F1" w:hAnsi="CIDFont+F1" w:cs="CIDFont+F1"/>
          <w:kern w:val="0"/>
          <w:sz w:val="24"/>
          <w:szCs w:val="24"/>
        </w:rPr>
        <w:t xml:space="preserve">Infine, con l’ultimo e quinto motivo di ricorso </w:t>
      </w:r>
      <w:r>
        <w:rPr>
          <w:rFonts w:ascii="CIDFont+F1" w:hAnsi="CIDFont+F1" w:cs="CIDFont+F1"/>
          <w:kern w:val="0"/>
          <w:sz w:val="24"/>
          <w:szCs w:val="24"/>
        </w:rPr>
        <w:t>controparte</w:t>
      </w:r>
      <w:r w:rsidRPr="0096215D">
        <w:rPr>
          <w:rFonts w:ascii="CIDFont+F1" w:hAnsi="CIDFont+F1" w:cs="CIDFont+F1"/>
          <w:kern w:val="0"/>
          <w:sz w:val="24"/>
          <w:szCs w:val="24"/>
        </w:rPr>
        <w:t xml:space="preserve"> lamenta la</w:t>
      </w:r>
      <w:r>
        <w:rPr>
          <w:rFonts w:ascii="CIDFont+F1" w:hAnsi="CIDFont+F1" w:cs="CIDFont+F1"/>
          <w:kern w:val="0"/>
          <w:sz w:val="24"/>
          <w:szCs w:val="24"/>
        </w:rPr>
        <w:t xml:space="preserve"> </w:t>
      </w:r>
      <w:r w:rsidRPr="0096215D">
        <w:rPr>
          <w:rFonts w:ascii="CIDFont+F1" w:hAnsi="CIDFont+F1" w:cs="CIDFont+F1"/>
          <w:kern w:val="0"/>
          <w:sz w:val="24"/>
          <w:szCs w:val="24"/>
        </w:rPr>
        <w:t>violazione dell’articolo 3 e 97 della Costituzione in quanto la disciplina</w:t>
      </w:r>
      <w:r>
        <w:rPr>
          <w:rFonts w:ascii="CIDFont+F1" w:hAnsi="CIDFont+F1" w:cs="CIDFont+F1"/>
          <w:kern w:val="0"/>
          <w:sz w:val="24"/>
          <w:szCs w:val="24"/>
        </w:rPr>
        <w:t xml:space="preserve"> non viene </w:t>
      </w:r>
      <w:r w:rsidRPr="0096215D">
        <w:rPr>
          <w:rFonts w:ascii="CIDFont+F1" w:hAnsi="CIDFont+F1" w:cs="CIDFont+F1"/>
          <w:kern w:val="0"/>
          <w:sz w:val="24"/>
          <w:szCs w:val="24"/>
        </w:rPr>
        <w:t>prevista la possibilità di rateizzare il pagamento</w:t>
      </w:r>
    </w:p>
    <w:p w14:paraId="1D111BA4" w14:textId="2A467534" w:rsidR="0096215D" w:rsidRDefault="0096215D" w:rsidP="0096215D">
      <w:pPr>
        <w:autoSpaceDE w:val="0"/>
        <w:autoSpaceDN w:val="0"/>
        <w:adjustRightInd w:val="0"/>
        <w:spacing w:after="0" w:line="240" w:lineRule="auto"/>
        <w:jc w:val="both"/>
        <w:rPr>
          <w:rFonts w:ascii="CIDFont+F1" w:hAnsi="CIDFont+F1" w:cs="CIDFont+F1"/>
          <w:kern w:val="0"/>
          <w:sz w:val="24"/>
          <w:szCs w:val="24"/>
        </w:rPr>
      </w:pPr>
      <w:r w:rsidRPr="0096215D">
        <w:rPr>
          <w:rFonts w:ascii="CIDFont+F1" w:hAnsi="CIDFont+F1" w:cs="CIDFont+F1"/>
          <w:kern w:val="0"/>
          <w:sz w:val="24"/>
          <w:szCs w:val="24"/>
        </w:rPr>
        <w:t>del canone unico patrimoniale in caso di autorizzazioni che non</w:t>
      </w:r>
      <w:r>
        <w:rPr>
          <w:rFonts w:ascii="CIDFont+F1" w:hAnsi="CIDFont+F1" w:cs="CIDFont+F1"/>
          <w:kern w:val="0"/>
          <w:sz w:val="24"/>
          <w:szCs w:val="24"/>
        </w:rPr>
        <w:t xml:space="preserve"> </w:t>
      </w:r>
      <w:r w:rsidRPr="0096215D">
        <w:rPr>
          <w:rFonts w:ascii="CIDFont+F1" w:hAnsi="CIDFont+F1" w:cs="CIDFont+F1"/>
          <w:kern w:val="0"/>
          <w:sz w:val="24"/>
          <w:szCs w:val="24"/>
        </w:rPr>
        <w:t>superino il tempo di affissione pubblicitaria di un anno solare.</w:t>
      </w:r>
      <w:r>
        <w:rPr>
          <w:rFonts w:ascii="CIDFont+F1" w:hAnsi="CIDFont+F1" w:cs="CIDFont+F1"/>
          <w:kern w:val="0"/>
          <w:sz w:val="24"/>
          <w:szCs w:val="24"/>
        </w:rPr>
        <w:t xml:space="preserve"> </w:t>
      </w:r>
      <w:r>
        <w:rPr>
          <w:rFonts w:ascii="CIDFont+F1" w:hAnsi="CIDFont+F1" w:cs="CIDFont+F1"/>
          <w:kern w:val="0"/>
          <w:sz w:val="24"/>
          <w:szCs w:val="24"/>
        </w:rPr>
        <w:t xml:space="preserve">Entra in discussione il meccanismo voluto dal </w:t>
      </w:r>
      <w:r w:rsidRPr="0096215D">
        <w:rPr>
          <w:rFonts w:ascii="CIDFont+F1" w:hAnsi="CIDFont+F1" w:cs="CIDFont+F1"/>
          <w:b/>
          <w:bCs/>
          <w:kern w:val="0"/>
          <w:sz w:val="24"/>
          <w:szCs w:val="24"/>
        </w:rPr>
        <w:t>comma 8</w:t>
      </w:r>
      <w:r>
        <w:rPr>
          <w:rFonts w:ascii="CIDFont+F1" w:hAnsi="CIDFont+F1" w:cs="CIDFont+F1"/>
          <w:b/>
          <w:bCs/>
          <w:kern w:val="0"/>
          <w:sz w:val="24"/>
          <w:szCs w:val="24"/>
        </w:rPr>
        <w:t>35</w:t>
      </w:r>
      <w:r w:rsidRPr="0096215D">
        <w:rPr>
          <w:rFonts w:ascii="CIDFont+F1" w:hAnsi="CIDFont+F1" w:cs="CIDFont+F1"/>
          <w:b/>
          <w:bCs/>
          <w:kern w:val="0"/>
          <w:sz w:val="24"/>
          <w:szCs w:val="24"/>
        </w:rPr>
        <w:t xml:space="preserve"> </w:t>
      </w:r>
      <w:r w:rsidRPr="007549E1">
        <w:rPr>
          <w:rFonts w:ascii="CIDFont+F1" w:hAnsi="CIDFont+F1" w:cs="CIDFont+F1"/>
          <w:b/>
          <w:bCs/>
          <w:kern w:val="0"/>
          <w:sz w:val="24"/>
          <w:szCs w:val="24"/>
        </w:rPr>
        <w:t>della legge n. 160/2019</w:t>
      </w:r>
      <w:r>
        <w:rPr>
          <w:rFonts w:ascii="CIDFont+F1" w:hAnsi="CIDFont+F1" w:cs="CIDFont+F1"/>
          <w:b/>
          <w:bCs/>
          <w:kern w:val="0"/>
          <w:sz w:val="24"/>
          <w:szCs w:val="24"/>
        </w:rPr>
        <w:t xml:space="preserve"> </w:t>
      </w:r>
      <w:r w:rsidRPr="0096215D">
        <w:rPr>
          <w:rFonts w:ascii="CIDFont+F1" w:hAnsi="CIDFont+F1" w:cs="CIDFont+F1"/>
          <w:kern w:val="0"/>
          <w:sz w:val="24"/>
          <w:szCs w:val="24"/>
        </w:rPr>
        <w:t>e quello richiamato dal Regolamento</w:t>
      </w:r>
      <w:r>
        <w:rPr>
          <w:rFonts w:ascii="CIDFont+F1" w:hAnsi="CIDFont+F1" w:cs="CIDFont+F1"/>
          <w:kern w:val="0"/>
          <w:sz w:val="24"/>
          <w:szCs w:val="24"/>
        </w:rPr>
        <w:t xml:space="preserve"> e dalle Deliberazioni</w:t>
      </w:r>
      <w:r w:rsidRPr="0096215D">
        <w:rPr>
          <w:rFonts w:ascii="CIDFont+F1" w:hAnsi="CIDFont+F1" w:cs="CIDFont+F1"/>
          <w:kern w:val="0"/>
          <w:sz w:val="24"/>
          <w:szCs w:val="24"/>
        </w:rPr>
        <w:t xml:space="preserve"> </w:t>
      </w:r>
      <w:r>
        <w:rPr>
          <w:rFonts w:ascii="CIDFont+F1" w:hAnsi="CIDFont+F1" w:cs="CIDFont+F1"/>
          <w:kern w:val="0"/>
          <w:sz w:val="24"/>
          <w:szCs w:val="24"/>
        </w:rPr>
        <w:t>c</w:t>
      </w:r>
      <w:r w:rsidRPr="0096215D">
        <w:rPr>
          <w:rFonts w:ascii="CIDFont+F1" w:hAnsi="CIDFont+F1" w:cs="CIDFont+F1"/>
          <w:kern w:val="0"/>
          <w:sz w:val="24"/>
          <w:szCs w:val="24"/>
        </w:rPr>
        <w:t>omunal</w:t>
      </w:r>
      <w:r>
        <w:rPr>
          <w:rFonts w:ascii="CIDFont+F1" w:hAnsi="CIDFont+F1" w:cs="CIDFont+F1"/>
          <w:kern w:val="0"/>
          <w:sz w:val="24"/>
          <w:szCs w:val="24"/>
        </w:rPr>
        <w:t>i.</w:t>
      </w:r>
    </w:p>
    <w:p w14:paraId="506B8419" w14:textId="345E13A8" w:rsidR="0096215D" w:rsidRPr="0096215D" w:rsidRDefault="0096215D" w:rsidP="0096215D">
      <w:pPr>
        <w:autoSpaceDE w:val="0"/>
        <w:autoSpaceDN w:val="0"/>
        <w:adjustRightInd w:val="0"/>
        <w:spacing w:after="0" w:line="240" w:lineRule="auto"/>
        <w:jc w:val="both"/>
        <w:rPr>
          <w:rFonts w:ascii="CIDFont+F1" w:hAnsi="CIDFont+F1" w:cs="CIDFont+F1"/>
          <w:kern w:val="0"/>
          <w:sz w:val="24"/>
          <w:szCs w:val="24"/>
        </w:rPr>
      </w:pPr>
    </w:p>
    <w:p w14:paraId="74F20D9E" w14:textId="77777777" w:rsidR="0096215D" w:rsidRDefault="0096215D" w:rsidP="005857DE">
      <w:pPr>
        <w:autoSpaceDE w:val="0"/>
        <w:autoSpaceDN w:val="0"/>
        <w:adjustRightInd w:val="0"/>
        <w:spacing w:after="0" w:line="240" w:lineRule="auto"/>
        <w:jc w:val="both"/>
        <w:rPr>
          <w:rFonts w:ascii="CIDFont+F1" w:hAnsi="CIDFont+F1" w:cs="CIDFont+F1"/>
          <w:kern w:val="0"/>
          <w:sz w:val="24"/>
          <w:szCs w:val="24"/>
        </w:rPr>
      </w:pPr>
      <w:r>
        <w:rPr>
          <w:rFonts w:ascii="CIDFont+F1" w:hAnsi="CIDFont+F1" w:cs="CIDFont+F1"/>
          <w:kern w:val="0"/>
          <w:sz w:val="24"/>
          <w:szCs w:val="24"/>
        </w:rPr>
        <w:t>Cinque motivi legati a cinque distinti commi della disciplina del Canone Unico. Il comma 817, 820, 825, 827 e 835.</w:t>
      </w:r>
    </w:p>
    <w:p w14:paraId="5EE10272" w14:textId="7D4FAECE" w:rsidR="0096215D" w:rsidRDefault="0096215D" w:rsidP="005857DE">
      <w:pPr>
        <w:autoSpaceDE w:val="0"/>
        <w:autoSpaceDN w:val="0"/>
        <w:adjustRightInd w:val="0"/>
        <w:spacing w:after="0" w:line="240" w:lineRule="auto"/>
        <w:jc w:val="both"/>
        <w:rPr>
          <w:rFonts w:ascii="CIDFont+F1" w:hAnsi="CIDFont+F1" w:cs="CIDFont+F1"/>
          <w:kern w:val="0"/>
          <w:sz w:val="24"/>
          <w:szCs w:val="24"/>
        </w:rPr>
      </w:pPr>
      <w:r>
        <w:rPr>
          <w:rFonts w:ascii="CIDFont+F1" w:hAnsi="CIDFont+F1" w:cs="CIDFont+F1"/>
          <w:kern w:val="0"/>
          <w:sz w:val="24"/>
          <w:szCs w:val="24"/>
        </w:rPr>
        <w:t xml:space="preserve"> </w:t>
      </w:r>
    </w:p>
    <w:p w14:paraId="79834C27" w14:textId="4576DF1E" w:rsidR="0096215D" w:rsidRDefault="00C04378" w:rsidP="00C04378">
      <w:pPr>
        <w:autoSpaceDE w:val="0"/>
        <w:autoSpaceDN w:val="0"/>
        <w:adjustRightInd w:val="0"/>
        <w:spacing w:after="0" w:line="240" w:lineRule="auto"/>
        <w:jc w:val="both"/>
        <w:rPr>
          <w:i/>
          <w:iCs/>
          <w:sz w:val="24"/>
          <w:szCs w:val="24"/>
        </w:rPr>
      </w:pPr>
      <w:r>
        <w:rPr>
          <w:sz w:val="24"/>
          <w:szCs w:val="24"/>
        </w:rPr>
        <w:t xml:space="preserve">Per quanto riguarda la questione relativa la duplicazione della richiesta in </w:t>
      </w:r>
      <w:r w:rsidR="00F30835">
        <w:rPr>
          <w:sz w:val="24"/>
          <w:szCs w:val="24"/>
        </w:rPr>
        <w:t xml:space="preserve">presunta </w:t>
      </w:r>
      <w:r>
        <w:rPr>
          <w:sz w:val="24"/>
          <w:szCs w:val="24"/>
        </w:rPr>
        <w:t xml:space="preserve">violazione del </w:t>
      </w:r>
      <w:r w:rsidRPr="00F30835">
        <w:rPr>
          <w:b/>
          <w:bCs/>
          <w:sz w:val="24"/>
          <w:szCs w:val="24"/>
        </w:rPr>
        <w:t>comma 820,</w:t>
      </w:r>
      <w:r>
        <w:rPr>
          <w:sz w:val="24"/>
          <w:szCs w:val="24"/>
        </w:rPr>
        <w:t xml:space="preserve"> il Consiglio di Stato precisa: </w:t>
      </w:r>
      <w:r w:rsidRPr="00C04378">
        <w:rPr>
          <w:i/>
          <w:iCs/>
          <w:sz w:val="24"/>
          <w:szCs w:val="24"/>
        </w:rPr>
        <w:t>“</w:t>
      </w:r>
      <w:r w:rsidRPr="00C04378">
        <w:rPr>
          <w:i/>
          <w:iCs/>
          <w:sz w:val="24"/>
          <w:szCs w:val="24"/>
        </w:rPr>
        <w:t>In realtà l’occupazione di suolo pubblico dovuta per il ponteggio, fa</w:t>
      </w:r>
      <w:r>
        <w:rPr>
          <w:i/>
          <w:iCs/>
          <w:sz w:val="24"/>
          <w:szCs w:val="24"/>
        </w:rPr>
        <w:t xml:space="preserve"> </w:t>
      </w:r>
      <w:r w:rsidRPr="00C04378">
        <w:rPr>
          <w:i/>
          <w:iCs/>
          <w:sz w:val="24"/>
          <w:szCs w:val="24"/>
        </w:rPr>
        <w:t>riferimento ad un presupposto diverso dalla diffusione del messaggio</w:t>
      </w:r>
      <w:r>
        <w:rPr>
          <w:i/>
          <w:iCs/>
          <w:sz w:val="24"/>
          <w:szCs w:val="24"/>
        </w:rPr>
        <w:t xml:space="preserve"> </w:t>
      </w:r>
      <w:r w:rsidRPr="00C04378">
        <w:rPr>
          <w:i/>
          <w:iCs/>
          <w:sz w:val="24"/>
          <w:szCs w:val="24"/>
        </w:rPr>
        <w:t>pubblicitario.</w:t>
      </w:r>
      <w:r>
        <w:rPr>
          <w:i/>
          <w:iCs/>
          <w:sz w:val="24"/>
          <w:szCs w:val="24"/>
        </w:rPr>
        <w:t xml:space="preserve"> </w:t>
      </w:r>
      <w:r w:rsidRPr="00C04378">
        <w:rPr>
          <w:i/>
          <w:iCs/>
          <w:sz w:val="24"/>
          <w:szCs w:val="24"/>
        </w:rPr>
        <w:t>Il canone dovuto per la diffusione dei messaggi pubblicitari esclude il</w:t>
      </w:r>
      <w:r>
        <w:rPr>
          <w:i/>
          <w:iCs/>
          <w:sz w:val="24"/>
          <w:szCs w:val="24"/>
        </w:rPr>
        <w:t xml:space="preserve"> </w:t>
      </w:r>
      <w:r w:rsidRPr="00C04378">
        <w:rPr>
          <w:i/>
          <w:iCs/>
          <w:sz w:val="24"/>
          <w:szCs w:val="24"/>
        </w:rPr>
        <w:t xml:space="preserve">canone per l’occupazione di spazi </w:t>
      </w:r>
      <w:r w:rsidRPr="00C04378">
        <w:rPr>
          <w:i/>
          <w:iCs/>
          <w:sz w:val="24"/>
          <w:szCs w:val="24"/>
        </w:rPr>
        <w:lastRenderedPageBreak/>
        <w:t>pubblici non perché il pagamento</w:t>
      </w:r>
      <w:r>
        <w:rPr>
          <w:i/>
          <w:iCs/>
          <w:sz w:val="24"/>
          <w:szCs w:val="24"/>
        </w:rPr>
        <w:t xml:space="preserve"> </w:t>
      </w:r>
      <w:r w:rsidRPr="00C04378">
        <w:rPr>
          <w:i/>
          <w:iCs/>
          <w:sz w:val="24"/>
          <w:szCs w:val="24"/>
        </w:rPr>
        <w:t>dell’uno esclude il pagamento dell’altro, ma, al contrario, perché devono</w:t>
      </w:r>
      <w:r>
        <w:rPr>
          <w:i/>
          <w:iCs/>
          <w:sz w:val="24"/>
          <w:szCs w:val="24"/>
        </w:rPr>
        <w:t xml:space="preserve"> </w:t>
      </w:r>
      <w:r w:rsidRPr="00C04378">
        <w:rPr>
          <w:i/>
          <w:iCs/>
          <w:sz w:val="24"/>
          <w:szCs w:val="24"/>
        </w:rPr>
        <w:t>essere pagati entrambi, in quanto riconducibili a presupposti diversi</w:t>
      </w:r>
      <w:r>
        <w:rPr>
          <w:i/>
          <w:iCs/>
          <w:sz w:val="24"/>
          <w:szCs w:val="24"/>
        </w:rPr>
        <w:t>”</w:t>
      </w:r>
    </w:p>
    <w:p w14:paraId="032848C5" w14:textId="77777777" w:rsidR="00C04378" w:rsidRDefault="00C04378" w:rsidP="00C04378">
      <w:pPr>
        <w:autoSpaceDE w:val="0"/>
        <w:autoSpaceDN w:val="0"/>
        <w:adjustRightInd w:val="0"/>
        <w:spacing w:after="0" w:line="240" w:lineRule="auto"/>
        <w:jc w:val="both"/>
        <w:rPr>
          <w:sz w:val="24"/>
          <w:szCs w:val="24"/>
        </w:rPr>
      </w:pPr>
    </w:p>
    <w:p w14:paraId="2F3062D3" w14:textId="236B044A" w:rsidR="00C04378" w:rsidRDefault="00C04378" w:rsidP="00C04378">
      <w:pPr>
        <w:autoSpaceDE w:val="0"/>
        <w:autoSpaceDN w:val="0"/>
        <w:adjustRightInd w:val="0"/>
        <w:spacing w:after="0" w:line="240" w:lineRule="auto"/>
        <w:jc w:val="both"/>
        <w:rPr>
          <w:sz w:val="24"/>
          <w:szCs w:val="24"/>
        </w:rPr>
      </w:pPr>
      <w:r>
        <w:rPr>
          <w:sz w:val="24"/>
          <w:szCs w:val="24"/>
        </w:rPr>
        <w:t xml:space="preserve">Esattamente così. Il principio voluto dal Legislatore con il comma 820, prevede che vi sia assorbimento della componente di occupazione suolo pubblico quando siamo di fronte ad un unico “oggetto di imposizione”. Sostanzialmente il meccanismo del comma </w:t>
      </w:r>
      <w:proofErr w:type="gramStart"/>
      <w:r>
        <w:rPr>
          <w:sz w:val="24"/>
          <w:szCs w:val="24"/>
        </w:rPr>
        <w:t>820  si</w:t>
      </w:r>
      <w:proofErr w:type="gramEnd"/>
      <w:r>
        <w:rPr>
          <w:sz w:val="24"/>
          <w:szCs w:val="24"/>
        </w:rPr>
        <w:t xml:space="preserve"> realizza solo quando un impianto pubblicitario occupa suolo pubblico. Se la diffusione pubblicitaria viene effettuata su un manufatto che non rappresenta un impianto pubblicitario, come può essere un ponteggio (caso in esame nel ricorso), si formano due distinti presupposti che non potranno essere ricondotti al solito oggetto, al solito evento. Il ponteggio dovrà versare in base all’occupazione realizzata su suolo pubblico e gli eventuali striscioni o cartelli pubblicitari esposti sulle campate dell’impalcatura, genereranno un diverso presupposto scollegato dal primo.</w:t>
      </w:r>
    </w:p>
    <w:p w14:paraId="48367B46" w14:textId="77777777" w:rsidR="00C04378" w:rsidRDefault="00C04378" w:rsidP="00C04378">
      <w:pPr>
        <w:autoSpaceDE w:val="0"/>
        <w:autoSpaceDN w:val="0"/>
        <w:adjustRightInd w:val="0"/>
        <w:spacing w:after="0" w:line="240" w:lineRule="auto"/>
        <w:jc w:val="both"/>
        <w:rPr>
          <w:sz w:val="24"/>
          <w:szCs w:val="24"/>
        </w:rPr>
      </w:pPr>
    </w:p>
    <w:p w14:paraId="0D909BFA" w14:textId="51D97286" w:rsidR="00F30835" w:rsidRDefault="00F30835" w:rsidP="00F30835">
      <w:pPr>
        <w:autoSpaceDE w:val="0"/>
        <w:autoSpaceDN w:val="0"/>
        <w:adjustRightInd w:val="0"/>
        <w:spacing w:after="0" w:line="240" w:lineRule="auto"/>
        <w:jc w:val="both"/>
        <w:rPr>
          <w:i/>
          <w:iCs/>
          <w:sz w:val="24"/>
          <w:szCs w:val="24"/>
        </w:rPr>
      </w:pPr>
      <w:r>
        <w:rPr>
          <w:sz w:val="24"/>
          <w:szCs w:val="24"/>
        </w:rPr>
        <w:t xml:space="preserve">Per quanto riguarda la questione relativa </w:t>
      </w:r>
      <w:r>
        <w:rPr>
          <w:sz w:val="24"/>
          <w:szCs w:val="24"/>
        </w:rPr>
        <w:t>l’utilizzo di parametri, come la tipologia e la zona di esposizione, per la costruzione della tariffa in</w:t>
      </w:r>
      <w:r>
        <w:rPr>
          <w:sz w:val="24"/>
          <w:szCs w:val="24"/>
        </w:rPr>
        <w:t xml:space="preserve"> </w:t>
      </w:r>
      <w:r>
        <w:rPr>
          <w:sz w:val="24"/>
          <w:szCs w:val="24"/>
        </w:rPr>
        <w:t xml:space="preserve">presunta </w:t>
      </w:r>
      <w:r>
        <w:rPr>
          <w:sz w:val="24"/>
          <w:szCs w:val="24"/>
        </w:rPr>
        <w:t xml:space="preserve">violazione del </w:t>
      </w:r>
      <w:r w:rsidRPr="00F30835">
        <w:rPr>
          <w:b/>
          <w:bCs/>
          <w:sz w:val="24"/>
          <w:szCs w:val="24"/>
        </w:rPr>
        <w:t>comma 82</w:t>
      </w:r>
      <w:r>
        <w:rPr>
          <w:b/>
          <w:bCs/>
          <w:sz w:val="24"/>
          <w:szCs w:val="24"/>
        </w:rPr>
        <w:t>5</w:t>
      </w:r>
      <w:r w:rsidRPr="00F30835">
        <w:rPr>
          <w:b/>
          <w:bCs/>
          <w:sz w:val="24"/>
          <w:szCs w:val="24"/>
        </w:rPr>
        <w:t>,</w:t>
      </w:r>
      <w:r>
        <w:rPr>
          <w:b/>
          <w:bCs/>
          <w:sz w:val="24"/>
          <w:szCs w:val="24"/>
        </w:rPr>
        <w:t xml:space="preserve"> </w:t>
      </w:r>
      <w:r>
        <w:rPr>
          <w:sz w:val="24"/>
          <w:szCs w:val="24"/>
        </w:rPr>
        <w:t xml:space="preserve">il Consiglio di Stato precisa: </w:t>
      </w:r>
      <w:r w:rsidRPr="00C04378">
        <w:rPr>
          <w:i/>
          <w:iCs/>
          <w:sz w:val="24"/>
          <w:szCs w:val="24"/>
        </w:rPr>
        <w:t>“</w:t>
      </w:r>
      <w:r w:rsidRPr="00F30835">
        <w:rPr>
          <w:i/>
          <w:iCs/>
          <w:sz w:val="24"/>
          <w:szCs w:val="24"/>
        </w:rPr>
        <w:t>Il collegio osserva che il riferimento alla superficie del mezzo</w:t>
      </w:r>
      <w:r>
        <w:rPr>
          <w:i/>
          <w:iCs/>
          <w:sz w:val="24"/>
          <w:szCs w:val="24"/>
        </w:rPr>
        <w:t xml:space="preserve"> </w:t>
      </w:r>
      <w:r w:rsidRPr="00F30835">
        <w:rPr>
          <w:i/>
          <w:iCs/>
          <w:sz w:val="24"/>
          <w:szCs w:val="24"/>
        </w:rPr>
        <w:t>pubblicitario non vieta una differenziazione sulla base della tipologia di</w:t>
      </w:r>
      <w:r>
        <w:rPr>
          <w:i/>
          <w:iCs/>
          <w:sz w:val="24"/>
          <w:szCs w:val="24"/>
        </w:rPr>
        <w:t xml:space="preserve"> </w:t>
      </w:r>
      <w:r w:rsidRPr="00F30835">
        <w:rPr>
          <w:i/>
          <w:iCs/>
          <w:sz w:val="24"/>
          <w:szCs w:val="24"/>
        </w:rPr>
        <w:t>impianto o della zona.</w:t>
      </w:r>
      <w:r>
        <w:rPr>
          <w:i/>
          <w:iCs/>
          <w:sz w:val="24"/>
          <w:szCs w:val="24"/>
        </w:rPr>
        <w:t xml:space="preserve"> </w:t>
      </w:r>
      <w:r w:rsidRPr="00F30835">
        <w:rPr>
          <w:i/>
          <w:iCs/>
          <w:sz w:val="24"/>
          <w:szCs w:val="24"/>
        </w:rPr>
        <w:t>Ossia la tariffa può, pur nel necessario riferimento alla superficie del</w:t>
      </w:r>
      <w:r>
        <w:rPr>
          <w:i/>
          <w:iCs/>
          <w:sz w:val="24"/>
          <w:szCs w:val="24"/>
        </w:rPr>
        <w:t xml:space="preserve"> </w:t>
      </w:r>
      <w:r w:rsidRPr="00F30835">
        <w:rPr>
          <w:i/>
          <w:iCs/>
          <w:sz w:val="24"/>
          <w:szCs w:val="24"/>
        </w:rPr>
        <w:t>mezzo pubblicitario, essere differenziata in relazione alla tipologia di</w:t>
      </w:r>
      <w:r>
        <w:rPr>
          <w:i/>
          <w:iCs/>
          <w:sz w:val="24"/>
          <w:szCs w:val="24"/>
        </w:rPr>
        <w:t xml:space="preserve"> </w:t>
      </w:r>
      <w:r w:rsidRPr="00F30835">
        <w:rPr>
          <w:i/>
          <w:iCs/>
          <w:sz w:val="24"/>
          <w:szCs w:val="24"/>
        </w:rPr>
        <w:t>impianto ed alla zona.</w:t>
      </w:r>
      <w:r>
        <w:rPr>
          <w:i/>
          <w:iCs/>
          <w:sz w:val="24"/>
          <w:szCs w:val="24"/>
        </w:rPr>
        <w:t xml:space="preserve"> </w:t>
      </w:r>
      <w:r w:rsidRPr="00F30835">
        <w:rPr>
          <w:i/>
          <w:iCs/>
          <w:sz w:val="24"/>
          <w:szCs w:val="24"/>
        </w:rPr>
        <w:t>Ciò risulta confermato dal testo letterale dell’art. 1 comma 825 della</w:t>
      </w:r>
      <w:r>
        <w:rPr>
          <w:i/>
          <w:iCs/>
          <w:sz w:val="24"/>
          <w:szCs w:val="24"/>
        </w:rPr>
        <w:t xml:space="preserve"> </w:t>
      </w:r>
      <w:r w:rsidRPr="00F30835">
        <w:rPr>
          <w:i/>
          <w:iCs/>
          <w:sz w:val="24"/>
          <w:szCs w:val="24"/>
        </w:rPr>
        <w:t>legge n° 160 del 2019, secondo cui non incidono sulla determinazione</w:t>
      </w:r>
      <w:r>
        <w:rPr>
          <w:i/>
          <w:iCs/>
          <w:sz w:val="24"/>
          <w:szCs w:val="24"/>
        </w:rPr>
        <w:t xml:space="preserve"> </w:t>
      </w:r>
      <w:r w:rsidRPr="00F30835">
        <w:rPr>
          <w:i/>
          <w:iCs/>
          <w:sz w:val="24"/>
          <w:szCs w:val="24"/>
        </w:rPr>
        <w:t>del canone il tipo ed il numero dei messaggi, con la conseguenza che</w:t>
      </w:r>
      <w:r>
        <w:rPr>
          <w:i/>
          <w:iCs/>
          <w:sz w:val="24"/>
          <w:szCs w:val="24"/>
        </w:rPr>
        <w:t xml:space="preserve"> </w:t>
      </w:r>
      <w:r w:rsidRPr="00F30835">
        <w:rPr>
          <w:i/>
          <w:iCs/>
          <w:sz w:val="24"/>
          <w:szCs w:val="24"/>
        </w:rPr>
        <w:t>possono essere invece utilizzati i diversi parametri della tipologia</w:t>
      </w:r>
      <w:r>
        <w:rPr>
          <w:i/>
          <w:iCs/>
          <w:sz w:val="24"/>
          <w:szCs w:val="24"/>
        </w:rPr>
        <w:t xml:space="preserve"> </w:t>
      </w:r>
      <w:r w:rsidRPr="00F30835">
        <w:rPr>
          <w:i/>
          <w:iCs/>
          <w:sz w:val="24"/>
          <w:szCs w:val="24"/>
        </w:rPr>
        <w:t>d’impianto e della zona nella determinazione della tariffa in base alla</w:t>
      </w:r>
      <w:r>
        <w:rPr>
          <w:i/>
          <w:iCs/>
          <w:sz w:val="24"/>
          <w:szCs w:val="24"/>
        </w:rPr>
        <w:t xml:space="preserve"> </w:t>
      </w:r>
      <w:r w:rsidRPr="00F30835">
        <w:rPr>
          <w:i/>
          <w:iCs/>
          <w:sz w:val="24"/>
          <w:szCs w:val="24"/>
        </w:rPr>
        <w:t>superficie.</w:t>
      </w:r>
      <w:r>
        <w:rPr>
          <w:i/>
          <w:iCs/>
          <w:sz w:val="24"/>
          <w:szCs w:val="24"/>
        </w:rPr>
        <w:t xml:space="preserve"> </w:t>
      </w:r>
      <w:r w:rsidRPr="00F30835">
        <w:rPr>
          <w:i/>
          <w:iCs/>
          <w:sz w:val="24"/>
          <w:szCs w:val="24"/>
        </w:rPr>
        <w:t>Tale differenziazione è del resto coerente alle esigenze del mercato che</w:t>
      </w:r>
      <w:r>
        <w:rPr>
          <w:i/>
          <w:iCs/>
          <w:sz w:val="24"/>
          <w:szCs w:val="24"/>
        </w:rPr>
        <w:t xml:space="preserve"> </w:t>
      </w:r>
      <w:r w:rsidRPr="00F30835">
        <w:rPr>
          <w:i/>
          <w:iCs/>
          <w:sz w:val="24"/>
          <w:szCs w:val="24"/>
        </w:rPr>
        <w:t>apprezzano diversamente un impianto illuminato da uno che non lo è</w:t>
      </w:r>
      <w:r>
        <w:rPr>
          <w:i/>
          <w:iCs/>
          <w:sz w:val="24"/>
          <w:szCs w:val="24"/>
        </w:rPr>
        <w:t xml:space="preserve"> </w:t>
      </w:r>
      <w:r w:rsidRPr="00F30835">
        <w:rPr>
          <w:i/>
          <w:iCs/>
          <w:sz w:val="24"/>
          <w:szCs w:val="24"/>
        </w:rPr>
        <w:t>come una zona frequentata da turisti da una zona che ne è priva.</w:t>
      </w:r>
      <w:r>
        <w:rPr>
          <w:i/>
          <w:iCs/>
          <w:sz w:val="24"/>
          <w:szCs w:val="24"/>
        </w:rPr>
        <w:t>”</w:t>
      </w:r>
    </w:p>
    <w:p w14:paraId="77CB0FBE" w14:textId="77777777" w:rsidR="00F30835" w:rsidRDefault="00F30835" w:rsidP="00F30835">
      <w:pPr>
        <w:autoSpaceDE w:val="0"/>
        <w:autoSpaceDN w:val="0"/>
        <w:adjustRightInd w:val="0"/>
        <w:spacing w:after="0" w:line="240" w:lineRule="auto"/>
        <w:jc w:val="both"/>
        <w:rPr>
          <w:i/>
          <w:iCs/>
          <w:sz w:val="24"/>
          <w:szCs w:val="24"/>
        </w:rPr>
      </w:pPr>
    </w:p>
    <w:p w14:paraId="56D587A4" w14:textId="4DF4FA89" w:rsidR="00F30835" w:rsidRDefault="00F30835" w:rsidP="00F30835">
      <w:pPr>
        <w:autoSpaceDE w:val="0"/>
        <w:autoSpaceDN w:val="0"/>
        <w:adjustRightInd w:val="0"/>
        <w:spacing w:after="0" w:line="240" w:lineRule="auto"/>
        <w:jc w:val="both"/>
        <w:rPr>
          <w:sz w:val="24"/>
          <w:szCs w:val="24"/>
        </w:rPr>
      </w:pPr>
      <w:r>
        <w:rPr>
          <w:sz w:val="24"/>
          <w:szCs w:val="24"/>
        </w:rPr>
        <w:t>Esattamente così.</w:t>
      </w:r>
      <w:r>
        <w:rPr>
          <w:sz w:val="24"/>
          <w:szCs w:val="24"/>
        </w:rPr>
        <w:t xml:space="preserve"> È corretto e aderente a tutti i principi generali in materia di entrate fiscali, la graduazione del prelievo in base alla tipologia di mezzo utilizzato e alla zona in cui viene esposto. Elementi che certamente influiscono sui benefici economici di chi dispone dell’impianto che assumerà una visibilità maggiore</w:t>
      </w:r>
      <w:r w:rsidR="00636E4D">
        <w:rPr>
          <w:sz w:val="24"/>
          <w:szCs w:val="24"/>
        </w:rPr>
        <w:t xml:space="preserve"> quando esposto in una </w:t>
      </w:r>
      <w:r>
        <w:rPr>
          <w:sz w:val="24"/>
          <w:szCs w:val="24"/>
        </w:rPr>
        <w:t xml:space="preserve">zona di pregio, in termini di centralità e </w:t>
      </w:r>
      <w:r w:rsidR="00CF48E6">
        <w:rPr>
          <w:sz w:val="24"/>
          <w:szCs w:val="24"/>
        </w:rPr>
        <w:t xml:space="preserve">di </w:t>
      </w:r>
      <w:r w:rsidR="00636E4D">
        <w:rPr>
          <w:sz w:val="24"/>
          <w:szCs w:val="24"/>
        </w:rPr>
        <w:t>fruibilità</w:t>
      </w:r>
      <w:r>
        <w:rPr>
          <w:sz w:val="24"/>
          <w:szCs w:val="24"/>
        </w:rPr>
        <w:t xml:space="preserve"> da parte di un numero maggiore di persone per flussi turistici, commerciali, ecc…</w:t>
      </w:r>
      <w:r w:rsidR="00636E4D">
        <w:rPr>
          <w:sz w:val="24"/>
          <w:szCs w:val="24"/>
        </w:rPr>
        <w:t>; stessa valutazione sulla tipologia perché come evidenzia il collegio diverso è il valore di un impianto se ad esempio è illuminato per permetterne una fruizione anche nelle ore serali e notturne.</w:t>
      </w:r>
      <w:r w:rsidR="00CF48E6">
        <w:rPr>
          <w:sz w:val="24"/>
          <w:szCs w:val="24"/>
        </w:rPr>
        <w:t xml:space="preserve"> Perfettamente in linea con lo spirito istitutivo del CUP adottare una griglia di parametri che permettano una differenziazione tariffaria di tutti gli impianti esposti sul territorio comunale.</w:t>
      </w:r>
    </w:p>
    <w:p w14:paraId="056BF8A1" w14:textId="77777777" w:rsidR="00CF48E6" w:rsidRDefault="00CF48E6" w:rsidP="00F30835">
      <w:pPr>
        <w:autoSpaceDE w:val="0"/>
        <w:autoSpaceDN w:val="0"/>
        <w:adjustRightInd w:val="0"/>
        <w:spacing w:after="0" w:line="240" w:lineRule="auto"/>
        <w:jc w:val="both"/>
        <w:rPr>
          <w:sz w:val="24"/>
          <w:szCs w:val="24"/>
        </w:rPr>
      </w:pPr>
    </w:p>
    <w:p w14:paraId="6C4059E1" w14:textId="06B7F9A4" w:rsidR="00CF48E6" w:rsidRPr="00CF48E6" w:rsidRDefault="00CF48E6" w:rsidP="00CF48E6">
      <w:pPr>
        <w:autoSpaceDE w:val="0"/>
        <w:autoSpaceDN w:val="0"/>
        <w:adjustRightInd w:val="0"/>
        <w:spacing w:after="0" w:line="240" w:lineRule="auto"/>
        <w:jc w:val="both"/>
        <w:rPr>
          <w:i/>
          <w:iCs/>
          <w:sz w:val="24"/>
          <w:szCs w:val="24"/>
        </w:rPr>
      </w:pPr>
      <w:r>
        <w:rPr>
          <w:sz w:val="24"/>
          <w:szCs w:val="24"/>
        </w:rPr>
        <w:t>Per quanto riguarda la questione relativa</w:t>
      </w:r>
      <w:r>
        <w:rPr>
          <w:sz w:val="24"/>
          <w:szCs w:val="24"/>
        </w:rPr>
        <w:t xml:space="preserve"> il mancato rispetto dell’</w:t>
      </w:r>
      <w:r w:rsidRPr="00B22E90">
        <w:rPr>
          <w:rFonts w:ascii="CIDFont+F1" w:hAnsi="CIDFont+F1" w:cs="CIDFont+F1"/>
          <w:kern w:val="0"/>
          <w:sz w:val="24"/>
          <w:szCs w:val="24"/>
        </w:rPr>
        <w:t>invarianza del gettito</w:t>
      </w:r>
      <w:r>
        <w:rPr>
          <w:rFonts w:ascii="CIDFont+F1" w:hAnsi="CIDFont+F1" w:cs="CIDFont+F1"/>
          <w:kern w:val="0"/>
          <w:sz w:val="24"/>
          <w:szCs w:val="24"/>
        </w:rPr>
        <w:t xml:space="preserve"> in presunta</w:t>
      </w:r>
      <w:r w:rsidRPr="00B22E90">
        <w:rPr>
          <w:rFonts w:ascii="CIDFont+F1" w:hAnsi="CIDFont+F1" w:cs="CIDFont+F1"/>
          <w:kern w:val="0"/>
          <w:sz w:val="24"/>
          <w:szCs w:val="24"/>
        </w:rPr>
        <w:t xml:space="preserve"> violazione </w:t>
      </w:r>
      <w:r w:rsidRPr="007549E1">
        <w:rPr>
          <w:rFonts w:ascii="CIDFont+F1" w:hAnsi="CIDFont+F1" w:cs="CIDFont+F1"/>
          <w:b/>
          <w:bCs/>
          <w:kern w:val="0"/>
          <w:sz w:val="24"/>
          <w:szCs w:val="24"/>
        </w:rPr>
        <w:t>del comma 817</w:t>
      </w:r>
      <w:r>
        <w:rPr>
          <w:rFonts w:ascii="CIDFont+F1" w:hAnsi="CIDFont+F1" w:cs="CIDFont+F1"/>
          <w:b/>
          <w:bCs/>
          <w:kern w:val="0"/>
          <w:sz w:val="24"/>
          <w:szCs w:val="24"/>
        </w:rPr>
        <w:t xml:space="preserve">, </w:t>
      </w:r>
      <w:r>
        <w:rPr>
          <w:sz w:val="24"/>
          <w:szCs w:val="24"/>
        </w:rPr>
        <w:t xml:space="preserve">il Consiglio di Stato precisa: </w:t>
      </w:r>
      <w:r w:rsidRPr="00C04378">
        <w:rPr>
          <w:i/>
          <w:iCs/>
          <w:sz w:val="24"/>
          <w:szCs w:val="24"/>
        </w:rPr>
        <w:t>“</w:t>
      </w:r>
      <w:r w:rsidRPr="00CF48E6">
        <w:rPr>
          <w:i/>
          <w:iCs/>
          <w:sz w:val="24"/>
          <w:szCs w:val="24"/>
        </w:rPr>
        <w:t>Invece il limite dell’invariante finanziaria deve essere rapportato</w:t>
      </w:r>
      <w:r>
        <w:rPr>
          <w:i/>
          <w:iCs/>
          <w:sz w:val="24"/>
          <w:szCs w:val="24"/>
        </w:rPr>
        <w:t xml:space="preserve"> </w:t>
      </w:r>
      <w:r w:rsidRPr="00CF48E6">
        <w:rPr>
          <w:i/>
          <w:iCs/>
          <w:sz w:val="24"/>
          <w:szCs w:val="24"/>
        </w:rPr>
        <w:t>all’intero cumulo dei canoni e/o tributi sostituiti dal CUP e deve essere</w:t>
      </w:r>
      <w:r>
        <w:rPr>
          <w:i/>
          <w:iCs/>
          <w:sz w:val="24"/>
          <w:szCs w:val="24"/>
        </w:rPr>
        <w:t xml:space="preserve"> </w:t>
      </w:r>
      <w:r w:rsidRPr="00CF48E6">
        <w:rPr>
          <w:i/>
          <w:iCs/>
          <w:sz w:val="24"/>
          <w:szCs w:val="24"/>
        </w:rPr>
        <w:t>rapportato anche all’intero gettito rappresentato da tutte le esposizioni</w:t>
      </w:r>
      <w:r>
        <w:rPr>
          <w:i/>
          <w:iCs/>
          <w:sz w:val="24"/>
          <w:szCs w:val="24"/>
        </w:rPr>
        <w:t xml:space="preserve"> </w:t>
      </w:r>
      <w:r w:rsidRPr="00CF48E6">
        <w:rPr>
          <w:i/>
          <w:iCs/>
          <w:sz w:val="24"/>
          <w:szCs w:val="24"/>
        </w:rPr>
        <w:t>pubblicitarie effettuate nel comune.</w:t>
      </w:r>
      <w:r>
        <w:rPr>
          <w:i/>
          <w:iCs/>
          <w:sz w:val="24"/>
          <w:szCs w:val="24"/>
        </w:rPr>
        <w:t xml:space="preserve"> </w:t>
      </w:r>
      <w:r w:rsidRPr="00CF48E6">
        <w:rPr>
          <w:i/>
          <w:iCs/>
          <w:sz w:val="24"/>
          <w:szCs w:val="24"/>
        </w:rPr>
        <w:t>Col ricorso di primo grado non è stato dimostrato il superamento di tale</w:t>
      </w:r>
      <w:r>
        <w:rPr>
          <w:i/>
          <w:iCs/>
          <w:sz w:val="24"/>
          <w:szCs w:val="24"/>
        </w:rPr>
        <w:t xml:space="preserve"> </w:t>
      </w:r>
      <w:r w:rsidRPr="00CF48E6">
        <w:rPr>
          <w:i/>
          <w:iCs/>
          <w:sz w:val="24"/>
          <w:szCs w:val="24"/>
        </w:rPr>
        <w:t>soglia complessiva.</w:t>
      </w:r>
    </w:p>
    <w:p w14:paraId="6DAB60F2" w14:textId="139F2151" w:rsidR="00CF48E6" w:rsidRDefault="00CF48E6" w:rsidP="00CF48E6">
      <w:pPr>
        <w:autoSpaceDE w:val="0"/>
        <w:autoSpaceDN w:val="0"/>
        <w:adjustRightInd w:val="0"/>
        <w:spacing w:after="0" w:line="240" w:lineRule="auto"/>
        <w:jc w:val="both"/>
        <w:rPr>
          <w:i/>
          <w:iCs/>
          <w:sz w:val="24"/>
          <w:szCs w:val="24"/>
        </w:rPr>
      </w:pPr>
      <w:r w:rsidRPr="00CF48E6">
        <w:rPr>
          <w:i/>
          <w:iCs/>
          <w:sz w:val="24"/>
          <w:szCs w:val="24"/>
        </w:rPr>
        <w:t>Inoltre il citato comma 817 dell’art. 1 della legge 160/2019 stabilisce</w:t>
      </w:r>
      <w:r>
        <w:rPr>
          <w:i/>
          <w:iCs/>
          <w:sz w:val="24"/>
          <w:szCs w:val="24"/>
        </w:rPr>
        <w:t xml:space="preserve"> </w:t>
      </w:r>
      <w:r w:rsidRPr="00CF48E6">
        <w:rPr>
          <w:i/>
          <w:iCs/>
          <w:sz w:val="24"/>
          <w:szCs w:val="24"/>
        </w:rPr>
        <w:t>che il principio di invarianza del gettito costituisce una clausola di</w:t>
      </w:r>
      <w:r>
        <w:rPr>
          <w:i/>
          <w:iCs/>
          <w:sz w:val="24"/>
          <w:szCs w:val="24"/>
        </w:rPr>
        <w:t xml:space="preserve"> </w:t>
      </w:r>
      <w:r w:rsidRPr="00CF48E6">
        <w:rPr>
          <w:i/>
          <w:iCs/>
          <w:sz w:val="24"/>
          <w:szCs w:val="24"/>
        </w:rPr>
        <w:t>salvaguardia per le entrate del Comune, che può modificare in aumento</w:t>
      </w:r>
      <w:r>
        <w:rPr>
          <w:i/>
          <w:iCs/>
          <w:sz w:val="24"/>
          <w:szCs w:val="24"/>
        </w:rPr>
        <w:t xml:space="preserve"> </w:t>
      </w:r>
      <w:r w:rsidRPr="00CF48E6">
        <w:rPr>
          <w:i/>
          <w:iCs/>
          <w:sz w:val="24"/>
          <w:szCs w:val="24"/>
        </w:rPr>
        <w:t>le tariffe, così come prevede lo stesso comma 817 dell’art. 1 della legge</w:t>
      </w:r>
      <w:r>
        <w:rPr>
          <w:i/>
          <w:iCs/>
          <w:sz w:val="24"/>
          <w:szCs w:val="24"/>
        </w:rPr>
        <w:t xml:space="preserve"> </w:t>
      </w:r>
      <w:r w:rsidRPr="00CF48E6">
        <w:rPr>
          <w:i/>
          <w:iCs/>
          <w:sz w:val="24"/>
          <w:szCs w:val="24"/>
        </w:rPr>
        <w:t>160/2019.</w:t>
      </w:r>
      <w:r>
        <w:rPr>
          <w:i/>
          <w:iCs/>
          <w:sz w:val="24"/>
          <w:szCs w:val="24"/>
        </w:rPr>
        <w:t>”</w:t>
      </w:r>
    </w:p>
    <w:p w14:paraId="2452C196" w14:textId="77777777" w:rsidR="00CF48E6" w:rsidRDefault="00CF48E6" w:rsidP="00CF48E6">
      <w:pPr>
        <w:autoSpaceDE w:val="0"/>
        <w:autoSpaceDN w:val="0"/>
        <w:adjustRightInd w:val="0"/>
        <w:spacing w:after="0" w:line="240" w:lineRule="auto"/>
        <w:jc w:val="both"/>
        <w:rPr>
          <w:i/>
          <w:iCs/>
          <w:sz w:val="24"/>
          <w:szCs w:val="24"/>
        </w:rPr>
      </w:pPr>
    </w:p>
    <w:p w14:paraId="33801F97" w14:textId="77777777" w:rsidR="00A53BF7" w:rsidRPr="00A53BF7" w:rsidRDefault="00CF48E6" w:rsidP="00A53BF7">
      <w:pPr>
        <w:autoSpaceDE w:val="0"/>
        <w:autoSpaceDN w:val="0"/>
        <w:adjustRightInd w:val="0"/>
        <w:spacing w:after="0" w:line="240" w:lineRule="auto"/>
        <w:jc w:val="both"/>
        <w:rPr>
          <w:i/>
          <w:iCs/>
          <w:sz w:val="24"/>
          <w:szCs w:val="24"/>
        </w:rPr>
      </w:pPr>
      <w:r>
        <w:rPr>
          <w:sz w:val="24"/>
          <w:szCs w:val="24"/>
        </w:rPr>
        <w:t>Esattamente così. È corretto</w:t>
      </w:r>
      <w:r>
        <w:rPr>
          <w:sz w:val="24"/>
          <w:szCs w:val="24"/>
        </w:rPr>
        <w:t xml:space="preserve"> ricondurre il disposto del comma 817 all’intero gettito della nuova entrata e non davvero al canone richiesto per la specifica esposizione pubblicitaria che, pertanto, potrà registrare delle variazioni rispetto a quanto versava con i prelievi precedenti. Ciò che conta, è </w:t>
      </w:r>
      <w:r>
        <w:rPr>
          <w:sz w:val="24"/>
          <w:szCs w:val="24"/>
        </w:rPr>
        <w:lastRenderedPageBreak/>
        <w:t>il complessivo gettito CUP che deve trovare corrispondenza con la somma dei prelievi sostituiti</w:t>
      </w:r>
      <w:r w:rsidR="001F3E5B">
        <w:rPr>
          <w:sz w:val="24"/>
          <w:szCs w:val="24"/>
        </w:rPr>
        <w:t>.</w:t>
      </w:r>
      <w:r w:rsidR="00A53BF7">
        <w:rPr>
          <w:sz w:val="24"/>
          <w:szCs w:val="24"/>
        </w:rPr>
        <w:t xml:space="preserve"> Come specifica il Collegio: “</w:t>
      </w:r>
      <w:r w:rsidR="00A53BF7" w:rsidRPr="00A53BF7">
        <w:rPr>
          <w:i/>
          <w:iCs/>
          <w:sz w:val="24"/>
          <w:szCs w:val="24"/>
        </w:rPr>
        <w:t>Il principio di invarianza del gettito non costituisce invece clausola di</w:t>
      </w:r>
    </w:p>
    <w:p w14:paraId="4CCD35E0" w14:textId="7EA8EFDA" w:rsidR="00CF48E6" w:rsidRDefault="00A53BF7" w:rsidP="00A53BF7">
      <w:pPr>
        <w:autoSpaceDE w:val="0"/>
        <w:autoSpaceDN w:val="0"/>
        <w:adjustRightInd w:val="0"/>
        <w:spacing w:after="0" w:line="240" w:lineRule="auto"/>
        <w:jc w:val="both"/>
        <w:rPr>
          <w:i/>
          <w:iCs/>
          <w:sz w:val="24"/>
          <w:szCs w:val="24"/>
        </w:rPr>
      </w:pPr>
      <w:r w:rsidRPr="00A53BF7">
        <w:rPr>
          <w:i/>
          <w:iCs/>
          <w:sz w:val="24"/>
          <w:szCs w:val="24"/>
        </w:rPr>
        <w:t>salvaguardia a favore del privato obbligato a pagare il canone.</w:t>
      </w:r>
      <w:r w:rsidRPr="00A53BF7">
        <w:rPr>
          <w:i/>
          <w:iCs/>
          <w:sz w:val="24"/>
          <w:szCs w:val="24"/>
        </w:rPr>
        <w:t>”</w:t>
      </w:r>
    </w:p>
    <w:p w14:paraId="3E09625B" w14:textId="77777777" w:rsidR="00A53BF7" w:rsidRDefault="00A53BF7" w:rsidP="00A53BF7">
      <w:pPr>
        <w:autoSpaceDE w:val="0"/>
        <w:autoSpaceDN w:val="0"/>
        <w:adjustRightInd w:val="0"/>
        <w:spacing w:after="0" w:line="240" w:lineRule="auto"/>
        <w:jc w:val="both"/>
        <w:rPr>
          <w:i/>
          <w:iCs/>
          <w:sz w:val="24"/>
          <w:szCs w:val="24"/>
        </w:rPr>
      </w:pPr>
    </w:p>
    <w:p w14:paraId="1FD20B0D" w14:textId="6D011770" w:rsidR="00A53BF7" w:rsidRDefault="00A53BF7" w:rsidP="0043717D">
      <w:pPr>
        <w:autoSpaceDE w:val="0"/>
        <w:autoSpaceDN w:val="0"/>
        <w:adjustRightInd w:val="0"/>
        <w:spacing w:after="0" w:line="240" w:lineRule="auto"/>
        <w:jc w:val="both"/>
        <w:rPr>
          <w:sz w:val="24"/>
          <w:szCs w:val="24"/>
        </w:rPr>
      </w:pPr>
      <w:r>
        <w:rPr>
          <w:sz w:val="24"/>
          <w:szCs w:val="24"/>
        </w:rPr>
        <w:t xml:space="preserve">In riferimento agli altri due motivi di ricorso, il Consiglio di Stato non entra nel merito. La questione legata alla rateizzazione dell’esposizione pubblicitaria temporanea fu già ritenuta infondata dal TAR, la questione invece relativa </w:t>
      </w:r>
      <w:r w:rsidR="000B0F72" w:rsidRPr="000B0F72">
        <w:rPr>
          <w:sz w:val="24"/>
          <w:szCs w:val="24"/>
        </w:rPr>
        <w:t xml:space="preserve">la </w:t>
      </w:r>
      <w:r w:rsidR="000B0F72">
        <w:rPr>
          <w:sz w:val="24"/>
          <w:szCs w:val="24"/>
        </w:rPr>
        <w:t>potenziale</w:t>
      </w:r>
      <w:r w:rsidR="000B0F72" w:rsidRPr="000B0F72">
        <w:rPr>
          <w:sz w:val="24"/>
          <w:szCs w:val="24"/>
        </w:rPr>
        <w:t xml:space="preserve"> irragionevolezza della c.d. tariffa giornaliera </w:t>
      </w:r>
      <w:r w:rsidR="000B0F72">
        <w:rPr>
          <w:sz w:val="24"/>
          <w:szCs w:val="24"/>
        </w:rPr>
        <w:t>rispetto alla</w:t>
      </w:r>
      <w:r w:rsidR="000B0F72" w:rsidRPr="000B0F72">
        <w:rPr>
          <w:sz w:val="24"/>
          <w:szCs w:val="24"/>
        </w:rPr>
        <w:t xml:space="preserve"> tariffa </w:t>
      </w:r>
      <w:r w:rsidR="000B0F72">
        <w:rPr>
          <w:sz w:val="24"/>
          <w:szCs w:val="24"/>
        </w:rPr>
        <w:t xml:space="preserve">annuale non viene esaminata in quanto </w:t>
      </w:r>
      <w:r w:rsidR="0043717D" w:rsidRPr="0043717D">
        <w:rPr>
          <w:sz w:val="24"/>
          <w:szCs w:val="24"/>
        </w:rPr>
        <w:t>parte appellata non ha espressamente</w:t>
      </w:r>
      <w:r w:rsidR="0043717D">
        <w:rPr>
          <w:sz w:val="24"/>
          <w:szCs w:val="24"/>
        </w:rPr>
        <w:t xml:space="preserve"> </w:t>
      </w:r>
      <w:r w:rsidR="0043717D" w:rsidRPr="0043717D">
        <w:rPr>
          <w:sz w:val="24"/>
          <w:szCs w:val="24"/>
        </w:rPr>
        <w:t>riproposto tale motivo di ricorso con</w:t>
      </w:r>
      <w:r w:rsidR="0043717D">
        <w:rPr>
          <w:sz w:val="24"/>
          <w:szCs w:val="24"/>
        </w:rPr>
        <w:t xml:space="preserve"> la sua</w:t>
      </w:r>
      <w:r w:rsidR="0043717D" w:rsidRPr="0043717D">
        <w:rPr>
          <w:sz w:val="24"/>
          <w:szCs w:val="24"/>
        </w:rPr>
        <w:t xml:space="preserve"> memoria</w:t>
      </w:r>
      <w:r w:rsidR="0043717D">
        <w:rPr>
          <w:sz w:val="24"/>
          <w:szCs w:val="24"/>
        </w:rPr>
        <w:t>.</w:t>
      </w:r>
    </w:p>
    <w:p w14:paraId="30BF2004" w14:textId="77777777" w:rsidR="0043717D" w:rsidRDefault="0043717D" w:rsidP="0043717D">
      <w:pPr>
        <w:autoSpaceDE w:val="0"/>
        <w:autoSpaceDN w:val="0"/>
        <w:adjustRightInd w:val="0"/>
        <w:spacing w:after="0" w:line="240" w:lineRule="auto"/>
        <w:jc w:val="both"/>
        <w:rPr>
          <w:sz w:val="24"/>
          <w:szCs w:val="24"/>
        </w:rPr>
      </w:pPr>
    </w:p>
    <w:p w14:paraId="2A7B86EF" w14:textId="3E8FAC2D" w:rsidR="0043717D" w:rsidRDefault="0043717D" w:rsidP="0043717D">
      <w:pPr>
        <w:autoSpaceDE w:val="0"/>
        <w:autoSpaceDN w:val="0"/>
        <w:adjustRightInd w:val="0"/>
        <w:spacing w:after="0" w:line="240" w:lineRule="auto"/>
        <w:jc w:val="both"/>
        <w:rPr>
          <w:sz w:val="24"/>
          <w:szCs w:val="24"/>
        </w:rPr>
      </w:pPr>
      <w:r>
        <w:rPr>
          <w:sz w:val="24"/>
          <w:szCs w:val="24"/>
        </w:rPr>
        <w:t>Sarebbe stato interessante leggere la posizione del Consiglio di Stato sulle due questioni.</w:t>
      </w:r>
    </w:p>
    <w:p w14:paraId="6BFDA944" w14:textId="169F5559" w:rsidR="0043717D" w:rsidRDefault="0043717D" w:rsidP="0043717D">
      <w:pPr>
        <w:autoSpaceDE w:val="0"/>
        <w:autoSpaceDN w:val="0"/>
        <w:adjustRightInd w:val="0"/>
        <w:spacing w:after="0" w:line="240" w:lineRule="auto"/>
        <w:jc w:val="both"/>
        <w:rPr>
          <w:sz w:val="24"/>
          <w:szCs w:val="24"/>
        </w:rPr>
      </w:pPr>
      <w:r>
        <w:rPr>
          <w:sz w:val="24"/>
          <w:szCs w:val="24"/>
        </w:rPr>
        <w:t xml:space="preserve">Questi motivi di ricorso rappresentano interesse perché effettivamente colgono due problemi molto sentiti </w:t>
      </w:r>
      <w:r w:rsidR="00845761">
        <w:rPr>
          <w:sz w:val="24"/>
          <w:szCs w:val="24"/>
        </w:rPr>
        <w:t>in merito</w:t>
      </w:r>
      <w:r>
        <w:rPr>
          <w:sz w:val="24"/>
          <w:szCs w:val="24"/>
        </w:rPr>
        <w:t xml:space="preserve"> </w:t>
      </w:r>
      <w:r w:rsidR="00845761">
        <w:rPr>
          <w:sz w:val="24"/>
          <w:szCs w:val="24"/>
        </w:rPr>
        <w:t>a</w:t>
      </w:r>
      <w:r>
        <w:rPr>
          <w:sz w:val="24"/>
          <w:szCs w:val="24"/>
        </w:rPr>
        <w:t>i quali gli enti territoriali che applicano il Canone Unico, devono confrontarsi quotidianamente nella gestione dell’entrata.</w:t>
      </w:r>
    </w:p>
    <w:p w14:paraId="45CB2A89" w14:textId="7999E45C" w:rsidR="0043717D" w:rsidRDefault="0043717D" w:rsidP="0043717D">
      <w:pPr>
        <w:autoSpaceDE w:val="0"/>
        <w:autoSpaceDN w:val="0"/>
        <w:adjustRightInd w:val="0"/>
        <w:spacing w:after="0" w:line="240" w:lineRule="auto"/>
        <w:jc w:val="both"/>
        <w:rPr>
          <w:sz w:val="24"/>
          <w:szCs w:val="24"/>
        </w:rPr>
      </w:pPr>
      <w:r>
        <w:rPr>
          <w:sz w:val="24"/>
          <w:szCs w:val="24"/>
        </w:rPr>
        <w:t>Questioni che devono trovare delle giuste ed eque soluzione nell’ambito della disciplina regolamentare</w:t>
      </w:r>
      <w:r w:rsidR="00845761">
        <w:rPr>
          <w:sz w:val="24"/>
          <w:szCs w:val="24"/>
        </w:rPr>
        <w:t>,</w:t>
      </w:r>
      <w:r>
        <w:rPr>
          <w:sz w:val="24"/>
          <w:szCs w:val="24"/>
        </w:rPr>
        <w:t xml:space="preserve"> proprio per evitare delle situazioni che possano portare a degli eccessi difficilmente governabili e giustificabili.</w:t>
      </w:r>
    </w:p>
    <w:p w14:paraId="21D229CE" w14:textId="77777777" w:rsidR="00845761" w:rsidRDefault="00845761" w:rsidP="0043717D">
      <w:pPr>
        <w:autoSpaceDE w:val="0"/>
        <w:autoSpaceDN w:val="0"/>
        <w:adjustRightInd w:val="0"/>
        <w:spacing w:after="0" w:line="240" w:lineRule="auto"/>
        <w:jc w:val="both"/>
        <w:rPr>
          <w:sz w:val="24"/>
          <w:szCs w:val="24"/>
        </w:rPr>
      </w:pPr>
    </w:p>
    <w:p w14:paraId="03A2BC53" w14:textId="013155D8" w:rsidR="00845761" w:rsidRDefault="0043717D" w:rsidP="0043717D">
      <w:pPr>
        <w:autoSpaceDE w:val="0"/>
        <w:autoSpaceDN w:val="0"/>
        <w:adjustRightInd w:val="0"/>
        <w:spacing w:after="0" w:line="240" w:lineRule="auto"/>
        <w:jc w:val="both"/>
        <w:rPr>
          <w:sz w:val="24"/>
          <w:szCs w:val="24"/>
        </w:rPr>
      </w:pPr>
      <w:r>
        <w:rPr>
          <w:sz w:val="24"/>
          <w:szCs w:val="24"/>
        </w:rPr>
        <w:t xml:space="preserve">In particolare, l’applicazione della tariffa giornaliera, in materia di CUP, può portare, soprattutto per la componente pubblicitaria, ad un calcolo del canone superiore ad una identica esposizione che si protrae per l’intero anno solare e che </w:t>
      </w:r>
      <w:r w:rsidR="00845761">
        <w:rPr>
          <w:sz w:val="24"/>
          <w:szCs w:val="24"/>
        </w:rPr>
        <w:t>viceversa potrà</w:t>
      </w:r>
      <w:r>
        <w:rPr>
          <w:sz w:val="24"/>
          <w:szCs w:val="24"/>
        </w:rPr>
        <w:t xml:space="preserve"> invece godere della tariffa standard annuale. Questo </w:t>
      </w:r>
      <w:r w:rsidR="00845761">
        <w:rPr>
          <w:sz w:val="24"/>
          <w:szCs w:val="24"/>
        </w:rPr>
        <w:t xml:space="preserve">meccanismo di calcolo </w:t>
      </w:r>
      <w:r>
        <w:rPr>
          <w:sz w:val="24"/>
          <w:szCs w:val="24"/>
        </w:rPr>
        <w:t xml:space="preserve">oggettivamente non trova motivazione </w:t>
      </w:r>
      <w:r w:rsidR="00845761">
        <w:rPr>
          <w:sz w:val="24"/>
          <w:szCs w:val="24"/>
        </w:rPr>
        <w:t>rispetto ai</w:t>
      </w:r>
      <w:r>
        <w:rPr>
          <w:sz w:val="24"/>
          <w:szCs w:val="24"/>
        </w:rPr>
        <w:t xml:space="preserve"> principi che devono regolare il prelievo. Lo stesso impianto </w:t>
      </w:r>
      <w:r w:rsidR="00845761">
        <w:rPr>
          <w:sz w:val="24"/>
          <w:szCs w:val="24"/>
        </w:rPr>
        <w:t xml:space="preserve">pubblicitario </w:t>
      </w:r>
      <w:r>
        <w:rPr>
          <w:sz w:val="24"/>
          <w:szCs w:val="24"/>
        </w:rPr>
        <w:t>esposto per 200 giorni, non dovrebbe scontare un canone superiore se l’esposizione durasse 365 giorni</w:t>
      </w:r>
      <w:r w:rsidR="00845761">
        <w:rPr>
          <w:sz w:val="24"/>
          <w:szCs w:val="24"/>
        </w:rPr>
        <w:t xml:space="preserve">. Non potremmo motivare la richiesta </w:t>
      </w:r>
      <w:r w:rsidR="00BB0CEC">
        <w:rPr>
          <w:sz w:val="24"/>
          <w:szCs w:val="24"/>
        </w:rPr>
        <w:t>superiore per</w:t>
      </w:r>
      <w:r w:rsidR="00845761">
        <w:rPr>
          <w:sz w:val="24"/>
          <w:szCs w:val="24"/>
        </w:rPr>
        <w:t xml:space="preserve"> una visibilità di durata inferiore per la stessa tipologia, metratura e zona di esposizione.</w:t>
      </w:r>
    </w:p>
    <w:p w14:paraId="48A3997A" w14:textId="15CB9E6C" w:rsidR="007A456D" w:rsidRDefault="00845761" w:rsidP="0043717D">
      <w:pPr>
        <w:autoSpaceDE w:val="0"/>
        <w:autoSpaceDN w:val="0"/>
        <w:adjustRightInd w:val="0"/>
        <w:spacing w:after="0" w:line="240" w:lineRule="auto"/>
        <w:jc w:val="both"/>
        <w:rPr>
          <w:sz w:val="24"/>
          <w:szCs w:val="24"/>
        </w:rPr>
      </w:pPr>
      <w:r>
        <w:rPr>
          <w:sz w:val="24"/>
          <w:szCs w:val="24"/>
        </w:rPr>
        <w:t xml:space="preserve">Eppure la tariffa giornaliera fissata dal Legislatore è proporzionalmente molto superiore a quella annuale. Nel caso di </w:t>
      </w:r>
      <w:r w:rsidR="00BB0CEC">
        <w:rPr>
          <w:sz w:val="24"/>
          <w:szCs w:val="24"/>
        </w:rPr>
        <w:t>comuni con popolazione superiore a 500mila abitanti</w:t>
      </w:r>
      <w:r>
        <w:rPr>
          <w:sz w:val="24"/>
          <w:szCs w:val="24"/>
        </w:rPr>
        <w:t xml:space="preserve">, la tariffa base per un giorno è di Euro 2,00 mentre quella ad anno solare è di Euro 70,00. Già dopo 35 giorni </w:t>
      </w:r>
      <w:r w:rsidR="007A456D">
        <w:rPr>
          <w:sz w:val="24"/>
          <w:szCs w:val="24"/>
        </w:rPr>
        <w:t xml:space="preserve">di esposizione </w:t>
      </w:r>
      <w:r>
        <w:rPr>
          <w:sz w:val="24"/>
          <w:szCs w:val="24"/>
        </w:rPr>
        <w:t>si manifesta lo squilibrio del canone</w:t>
      </w:r>
      <w:r w:rsidR="007A456D">
        <w:rPr>
          <w:sz w:val="24"/>
          <w:szCs w:val="24"/>
        </w:rPr>
        <w:t xml:space="preserve"> dovuto.</w:t>
      </w:r>
    </w:p>
    <w:p w14:paraId="776A58F0" w14:textId="3ED519FF" w:rsidR="00BB0CEC" w:rsidRDefault="00BB0CEC" w:rsidP="0043717D">
      <w:pPr>
        <w:autoSpaceDE w:val="0"/>
        <w:autoSpaceDN w:val="0"/>
        <w:adjustRightInd w:val="0"/>
        <w:spacing w:after="0" w:line="240" w:lineRule="auto"/>
        <w:jc w:val="both"/>
        <w:rPr>
          <w:sz w:val="24"/>
          <w:szCs w:val="24"/>
        </w:rPr>
      </w:pPr>
      <w:r>
        <w:rPr>
          <w:sz w:val="24"/>
          <w:szCs w:val="24"/>
        </w:rPr>
        <w:t>In passato q</w:t>
      </w:r>
      <w:r w:rsidR="007A456D">
        <w:rPr>
          <w:sz w:val="24"/>
          <w:szCs w:val="24"/>
        </w:rPr>
        <w:t>uesta problematica era sconosciuta</w:t>
      </w:r>
      <w:r w:rsidR="00B650FC">
        <w:rPr>
          <w:sz w:val="24"/>
          <w:szCs w:val="24"/>
        </w:rPr>
        <w:t>,</w:t>
      </w:r>
      <w:r w:rsidR="007A456D">
        <w:rPr>
          <w:sz w:val="24"/>
          <w:szCs w:val="24"/>
        </w:rPr>
        <w:t xml:space="preserve"> con il prelievo precedente </w:t>
      </w:r>
      <w:r w:rsidR="00B650FC">
        <w:rPr>
          <w:sz w:val="24"/>
          <w:szCs w:val="24"/>
        </w:rPr>
        <w:t>infatti</w:t>
      </w:r>
      <w:r w:rsidR="007A456D">
        <w:rPr>
          <w:sz w:val="24"/>
          <w:szCs w:val="24"/>
        </w:rPr>
        <w:t xml:space="preserve"> la tariffa era solo annuale ed era possibile frazionarla in </w:t>
      </w:r>
      <w:r w:rsidR="00B650FC">
        <w:rPr>
          <w:sz w:val="24"/>
          <w:szCs w:val="24"/>
        </w:rPr>
        <w:t>quota</w:t>
      </w:r>
      <w:r>
        <w:rPr>
          <w:sz w:val="24"/>
          <w:szCs w:val="24"/>
        </w:rPr>
        <w:t xml:space="preserve"> </w:t>
      </w:r>
      <w:r w:rsidR="007A456D">
        <w:rPr>
          <w:sz w:val="24"/>
          <w:szCs w:val="24"/>
        </w:rPr>
        <w:t xml:space="preserve">mensile fino a 3 mesi di esposizione (calcolata in 1/10 </w:t>
      </w:r>
      <w:r>
        <w:rPr>
          <w:sz w:val="24"/>
          <w:szCs w:val="24"/>
        </w:rPr>
        <w:t>dell’annuale per</w:t>
      </w:r>
      <w:r w:rsidR="007A456D">
        <w:rPr>
          <w:sz w:val="24"/>
          <w:szCs w:val="24"/>
        </w:rPr>
        <w:t xml:space="preserve"> ogni mese). </w:t>
      </w:r>
      <w:r w:rsidR="0043717D">
        <w:rPr>
          <w:sz w:val="24"/>
          <w:szCs w:val="24"/>
        </w:rPr>
        <w:t xml:space="preserve"> </w:t>
      </w:r>
      <w:r>
        <w:rPr>
          <w:sz w:val="24"/>
          <w:szCs w:val="24"/>
        </w:rPr>
        <w:t xml:space="preserve">Oggi con la tariffa giornaliera il meccanismo di calcolo cambia andando a stravolgere quello </w:t>
      </w:r>
      <w:r w:rsidR="00B650FC">
        <w:rPr>
          <w:sz w:val="24"/>
          <w:szCs w:val="24"/>
        </w:rPr>
        <w:t>applicato in regime ICP</w:t>
      </w:r>
      <w:r>
        <w:rPr>
          <w:sz w:val="24"/>
          <w:szCs w:val="24"/>
        </w:rPr>
        <w:t xml:space="preserve"> e universalmente riconosciuto. </w:t>
      </w:r>
    </w:p>
    <w:p w14:paraId="5EB4854C" w14:textId="2E956FBC" w:rsidR="0043717D" w:rsidRDefault="00BB0CEC" w:rsidP="0043717D">
      <w:pPr>
        <w:autoSpaceDE w:val="0"/>
        <w:autoSpaceDN w:val="0"/>
        <w:adjustRightInd w:val="0"/>
        <w:spacing w:after="0" w:line="240" w:lineRule="auto"/>
        <w:jc w:val="both"/>
        <w:rPr>
          <w:sz w:val="24"/>
          <w:szCs w:val="24"/>
        </w:rPr>
      </w:pPr>
      <w:r>
        <w:rPr>
          <w:sz w:val="24"/>
          <w:szCs w:val="24"/>
        </w:rPr>
        <w:t xml:space="preserve">La tariffa giornaliera </w:t>
      </w:r>
      <w:r w:rsidR="00B650FC">
        <w:rPr>
          <w:sz w:val="24"/>
          <w:szCs w:val="24"/>
        </w:rPr>
        <w:t xml:space="preserve">CUP </w:t>
      </w:r>
      <w:r>
        <w:rPr>
          <w:sz w:val="24"/>
          <w:szCs w:val="24"/>
        </w:rPr>
        <w:t xml:space="preserve">trova giustificazione per esposizioni di durata massima di 10/15 giorni, </w:t>
      </w:r>
      <w:r w:rsidR="004B1221">
        <w:rPr>
          <w:sz w:val="24"/>
          <w:szCs w:val="24"/>
        </w:rPr>
        <w:t>dopodiché</w:t>
      </w:r>
      <w:r>
        <w:rPr>
          <w:sz w:val="24"/>
          <w:szCs w:val="24"/>
        </w:rPr>
        <w:t xml:space="preserve"> si dimostra sproporzionata rispetto a quella annuale. Ecco quindi la necessità di </w:t>
      </w:r>
      <w:r w:rsidR="00B650FC">
        <w:rPr>
          <w:sz w:val="24"/>
          <w:szCs w:val="24"/>
        </w:rPr>
        <w:t>ap</w:t>
      </w:r>
      <w:r>
        <w:rPr>
          <w:sz w:val="24"/>
          <w:szCs w:val="24"/>
        </w:rPr>
        <w:t>portare dei correttivi a livello regolamentare che consentano di applicare</w:t>
      </w:r>
      <w:r w:rsidR="00B650FC">
        <w:rPr>
          <w:sz w:val="24"/>
          <w:szCs w:val="24"/>
        </w:rPr>
        <w:t>,</w:t>
      </w:r>
      <w:r>
        <w:rPr>
          <w:sz w:val="24"/>
          <w:szCs w:val="24"/>
        </w:rPr>
        <w:t xml:space="preserve"> ad esempio</w:t>
      </w:r>
      <w:r w:rsidR="00B650FC">
        <w:rPr>
          <w:sz w:val="24"/>
          <w:szCs w:val="24"/>
        </w:rPr>
        <w:t>,</w:t>
      </w:r>
      <w:r>
        <w:rPr>
          <w:sz w:val="24"/>
          <w:szCs w:val="24"/>
        </w:rPr>
        <w:t xml:space="preserve"> una tariffa mensile determinata come frazione di quella annuale, o comunque prevedere che</w:t>
      </w:r>
      <w:r w:rsidR="00B650FC">
        <w:rPr>
          <w:sz w:val="24"/>
          <w:szCs w:val="24"/>
        </w:rPr>
        <w:t>,</w:t>
      </w:r>
      <w:r>
        <w:rPr>
          <w:sz w:val="24"/>
          <w:szCs w:val="24"/>
        </w:rPr>
        <w:t xml:space="preserve"> dopo una certa soglia di importo</w:t>
      </w:r>
      <w:r w:rsidR="00B650FC">
        <w:rPr>
          <w:sz w:val="24"/>
          <w:szCs w:val="24"/>
        </w:rPr>
        <w:t>,</w:t>
      </w:r>
      <w:r>
        <w:rPr>
          <w:sz w:val="24"/>
          <w:szCs w:val="24"/>
        </w:rPr>
        <w:t xml:space="preserve"> si applic</w:t>
      </w:r>
      <w:r w:rsidR="00B650FC">
        <w:rPr>
          <w:sz w:val="24"/>
          <w:szCs w:val="24"/>
        </w:rPr>
        <w:t>hi sempre una</w:t>
      </w:r>
      <w:r>
        <w:rPr>
          <w:sz w:val="24"/>
          <w:szCs w:val="24"/>
        </w:rPr>
        <w:t xml:space="preserve"> tariffa massima</w:t>
      </w:r>
      <w:r w:rsidR="0043717D">
        <w:rPr>
          <w:sz w:val="24"/>
          <w:szCs w:val="24"/>
        </w:rPr>
        <w:t xml:space="preserve"> </w:t>
      </w:r>
      <w:r w:rsidR="00B650FC">
        <w:rPr>
          <w:sz w:val="24"/>
          <w:szCs w:val="24"/>
        </w:rPr>
        <w:t xml:space="preserve">pari a </w:t>
      </w:r>
      <w:r w:rsidR="004B1221">
        <w:rPr>
          <w:sz w:val="24"/>
          <w:szCs w:val="24"/>
        </w:rPr>
        <w:t>quella annuale.</w:t>
      </w:r>
    </w:p>
    <w:p w14:paraId="444A463C" w14:textId="58242053" w:rsidR="00B650FC" w:rsidRPr="00A53BF7" w:rsidRDefault="00B650FC" w:rsidP="0043717D">
      <w:pPr>
        <w:autoSpaceDE w:val="0"/>
        <w:autoSpaceDN w:val="0"/>
        <w:adjustRightInd w:val="0"/>
        <w:spacing w:after="0" w:line="240" w:lineRule="auto"/>
        <w:jc w:val="both"/>
        <w:rPr>
          <w:sz w:val="24"/>
          <w:szCs w:val="24"/>
        </w:rPr>
      </w:pPr>
      <w:r>
        <w:rPr>
          <w:sz w:val="24"/>
          <w:szCs w:val="24"/>
        </w:rPr>
        <w:t xml:space="preserve">Aspettiamo quindi in merito alle problematiche non affrontate nella sentenza oggetto dell’odierno approfondimento, di capire l’orientamento giurisprudenziale che si andrà a formare, per confermare oppure disattendere le iniziative adottate dai singoli enti. </w:t>
      </w:r>
    </w:p>
    <w:p w14:paraId="2D0DCF54" w14:textId="77777777" w:rsidR="001F3E5B" w:rsidRDefault="001F3E5B" w:rsidP="00CF48E6">
      <w:pPr>
        <w:autoSpaceDE w:val="0"/>
        <w:autoSpaceDN w:val="0"/>
        <w:adjustRightInd w:val="0"/>
        <w:spacing w:after="0" w:line="240" w:lineRule="auto"/>
        <w:jc w:val="both"/>
        <w:rPr>
          <w:sz w:val="24"/>
          <w:szCs w:val="24"/>
        </w:rPr>
      </w:pPr>
    </w:p>
    <w:p w14:paraId="3BD0D52C" w14:textId="77777777" w:rsidR="001F3E5B" w:rsidRPr="00CF48E6" w:rsidRDefault="001F3E5B" w:rsidP="00CF48E6">
      <w:pPr>
        <w:autoSpaceDE w:val="0"/>
        <w:autoSpaceDN w:val="0"/>
        <w:adjustRightInd w:val="0"/>
        <w:spacing w:after="0" w:line="240" w:lineRule="auto"/>
        <w:jc w:val="both"/>
        <w:rPr>
          <w:sz w:val="24"/>
          <w:szCs w:val="24"/>
        </w:rPr>
      </w:pPr>
    </w:p>
    <w:p w14:paraId="4039BA2B" w14:textId="77777777" w:rsidR="00CF48E6" w:rsidRPr="00C04378" w:rsidRDefault="00CF48E6">
      <w:pPr>
        <w:autoSpaceDE w:val="0"/>
        <w:autoSpaceDN w:val="0"/>
        <w:adjustRightInd w:val="0"/>
        <w:spacing w:after="0" w:line="240" w:lineRule="auto"/>
        <w:jc w:val="both"/>
        <w:rPr>
          <w:sz w:val="24"/>
          <w:szCs w:val="24"/>
        </w:rPr>
      </w:pPr>
    </w:p>
    <w:sectPr w:rsidR="00CF48E6" w:rsidRPr="00C04378">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IDFont+F1">
    <w:altName w:val="Calibri"/>
    <w:panose1 w:val="00000000000000000000"/>
    <w:charset w:val="00"/>
    <w:family w:val="auto"/>
    <w:notTrueType/>
    <w:pitch w:val="default"/>
    <w:sig w:usb0="00000003" w:usb1="00000000" w:usb2="00000000" w:usb3="00000000" w:csb0="00000001" w:csb1="00000000"/>
  </w:font>
  <w:font w:name="CIDFont+F2">
    <w:altName w:val="Calibri"/>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07D"/>
    <w:rsid w:val="00060149"/>
    <w:rsid w:val="000B0F72"/>
    <w:rsid w:val="001F3E5B"/>
    <w:rsid w:val="0043717D"/>
    <w:rsid w:val="004B1221"/>
    <w:rsid w:val="005857DE"/>
    <w:rsid w:val="00636E4D"/>
    <w:rsid w:val="007549E1"/>
    <w:rsid w:val="007A456D"/>
    <w:rsid w:val="00845761"/>
    <w:rsid w:val="0096215D"/>
    <w:rsid w:val="00A53BF7"/>
    <w:rsid w:val="00B22E90"/>
    <w:rsid w:val="00B650FC"/>
    <w:rsid w:val="00BB0CEC"/>
    <w:rsid w:val="00BE107D"/>
    <w:rsid w:val="00C04378"/>
    <w:rsid w:val="00CB5AB1"/>
    <w:rsid w:val="00CF48E6"/>
    <w:rsid w:val="00D64156"/>
    <w:rsid w:val="00F30835"/>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308D20"/>
  <w15:chartTrackingRefBased/>
  <w15:docId w15:val="{8127CAFA-AB57-4584-B260-9EFEC9FAF0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268</TotalTime>
  <Pages>3</Pages>
  <Words>1635</Words>
  <Characters>9322</Characters>
  <Application>Microsoft Office Word</Application>
  <DocSecurity>0</DocSecurity>
  <Lines>77</Lines>
  <Paragraphs>21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10936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merciari</dc:creator>
  <cp:keywords/>
  <dc:description/>
  <cp:lastModifiedBy>alessandro merciari</cp:lastModifiedBy>
  <cp:revision>11</cp:revision>
  <dcterms:created xsi:type="dcterms:W3CDTF">2023-10-12T06:19:00Z</dcterms:created>
  <dcterms:modified xsi:type="dcterms:W3CDTF">2023-10-12T10:47:00Z</dcterms:modified>
</cp:coreProperties>
</file>