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683CD" w14:textId="6457E511" w:rsidR="00060149" w:rsidRDefault="000E5529">
      <w:r>
        <w:t>Titolo:</w:t>
      </w:r>
      <w:r w:rsidR="002768B8">
        <w:t xml:space="preserve"> Saranno le Sezioni Unite della Cassazione a dire se il presupposto pubblicitario del CUP ha natura tributaria</w:t>
      </w:r>
    </w:p>
    <w:p w14:paraId="2AFB77E9" w14:textId="6C7A77E8" w:rsidR="000E5529" w:rsidRDefault="000E5529">
      <w:r>
        <w:t>Di Alessandro Merciari</w:t>
      </w:r>
    </w:p>
    <w:p w14:paraId="6E9CC4AA" w14:textId="68529F98" w:rsidR="000E5529" w:rsidRDefault="000E5529" w:rsidP="000E5529">
      <w:pPr>
        <w:jc w:val="both"/>
        <w:rPr>
          <w:i/>
          <w:iCs/>
        </w:rPr>
      </w:pPr>
      <w:r>
        <w:t>La Corte Suprema di Cassazione lo scorso 3 giugno 2025</w:t>
      </w:r>
      <w:r w:rsidR="00AF1D81">
        <w:t xml:space="preserve"> con il Decreto RG 7546 a firma della Prima Presidente,</w:t>
      </w:r>
      <w:r>
        <w:t xml:space="preserve"> ha dichiarato ammissibile il rinvio pregiudiziale sollevato dalla Corte di </w:t>
      </w:r>
      <w:r w:rsidR="00AF1D81">
        <w:t>G</w:t>
      </w:r>
      <w:r>
        <w:t xml:space="preserve">iustizia </w:t>
      </w:r>
      <w:r w:rsidR="00AF1D81">
        <w:t>T</w:t>
      </w:r>
      <w:r>
        <w:t>ributaria di primo grado di Vicenza nel quale si richiedeva:</w:t>
      </w:r>
      <w:r w:rsidRPr="000E5529">
        <w:rPr>
          <w:i/>
          <w:iCs/>
        </w:rPr>
        <w:t xml:space="preserve"> «se la giurisdizione sulla controversia avente a</w:t>
      </w:r>
      <w:r>
        <w:rPr>
          <w:i/>
          <w:iCs/>
        </w:rPr>
        <w:t>d</w:t>
      </w:r>
      <w:r w:rsidRPr="000E5529">
        <w:rPr>
          <w:i/>
          <w:iCs/>
        </w:rPr>
        <w:t xml:space="preserve"> oggetto l'impugnazione dell'avviso di accertamento esecutivo concernente il canone patrimoniale di concessione, autorizzazione o esposizione pubblicitaria e pubbliche affissioni, di cui all'art. 1, commi 816-847, L. 160/2019, spetti sempre al giudice tributario, ovvero al giudice ordinario, ovvero ancora all'uno o all'altro in base al contenuto concreto della pretesa».</w:t>
      </w:r>
    </w:p>
    <w:p w14:paraId="014EF3C8" w14:textId="29ADCE4E" w:rsidR="000E5529" w:rsidRDefault="000E5529" w:rsidP="000E5529">
      <w:pPr>
        <w:jc w:val="both"/>
      </w:pPr>
      <w:r>
        <w:t>Spett</w:t>
      </w:r>
      <w:r w:rsidR="00F92992">
        <w:t>erà</w:t>
      </w:r>
      <w:r>
        <w:t xml:space="preserve"> </w:t>
      </w:r>
      <w:r w:rsidR="00F92992">
        <w:t>quindi</w:t>
      </w:r>
      <w:r>
        <w:t xml:space="preserve"> all</w:t>
      </w:r>
      <w:r w:rsidR="00AF1D81">
        <w:t>e</w:t>
      </w:r>
      <w:r>
        <w:t xml:space="preserve"> Sezioni Unite</w:t>
      </w:r>
      <w:r w:rsidR="00AF1D81">
        <w:t xml:space="preserve"> della Cassazione</w:t>
      </w:r>
      <w:r>
        <w:t xml:space="preserve"> pronunciarsi finalmente sulla natura, e di conseguenza sulla competenza giurisdizionale, della componente pubblicitaria del CUP. </w:t>
      </w:r>
    </w:p>
    <w:p w14:paraId="329C51AF" w14:textId="01A518AC" w:rsidR="00F92992" w:rsidRPr="00F92992" w:rsidRDefault="00F92992" w:rsidP="00F92992">
      <w:pPr>
        <w:jc w:val="both"/>
        <w:rPr>
          <w:b/>
          <w:bCs/>
        </w:rPr>
      </w:pPr>
      <w:r w:rsidRPr="00F92992">
        <w:rPr>
          <w:b/>
          <w:bCs/>
        </w:rPr>
        <w:t>La sentenza n. 968/2025 della CGT di Vicenza</w:t>
      </w:r>
    </w:p>
    <w:p w14:paraId="1A6593CE" w14:textId="38A462E7" w:rsidR="00F92992" w:rsidRDefault="00F92992" w:rsidP="00F92992">
      <w:pPr>
        <w:pStyle w:val="Default"/>
        <w:jc w:val="both"/>
        <w:rPr>
          <w:rFonts w:asciiTheme="minorHAnsi" w:hAnsiTheme="minorHAnsi" w:cstheme="minorBidi"/>
          <w:i/>
          <w:iCs/>
          <w:color w:val="auto"/>
          <w:kern w:val="2"/>
          <w:sz w:val="22"/>
          <w:szCs w:val="22"/>
        </w:rPr>
      </w:pPr>
      <w:r w:rsidRPr="00F92992">
        <w:rPr>
          <w:rFonts w:asciiTheme="minorHAnsi" w:hAnsiTheme="minorHAnsi" w:cstheme="minorBidi"/>
          <w:color w:val="auto"/>
          <w:kern w:val="2"/>
          <w:sz w:val="22"/>
          <w:szCs w:val="22"/>
        </w:rPr>
        <w:t xml:space="preserve">La Corte </w:t>
      </w:r>
      <w:r w:rsidR="002768B8">
        <w:rPr>
          <w:rFonts w:asciiTheme="minorHAnsi" w:hAnsiTheme="minorHAnsi" w:cstheme="minorBidi"/>
          <w:color w:val="auto"/>
          <w:kern w:val="2"/>
          <w:sz w:val="22"/>
          <w:szCs w:val="22"/>
        </w:rPr>
        <w:t>di Giustizia T</w:t>
      </w:r>
      <w:r w:rsidRPr="00F92992">
        <w:rPr>
          <w:rFonts w:asciiTheme="minorHAnsi" w:hAnsiTheme="minorHAnsi" w:cstheme="minorBidi"/>
          <w:color w:val="auto"/>
          <w:kern w:val="2"/>
          <w:sz w:val="22"/>
          <w:szCs w:val="22"/>
        </w:rPr>
        <w:t xml:space="preserve">ributaria di Vicenza </w:t>
      </w:r>
      <w:r w:rsidR="002768B8">
        <w:rPr>
          <w:rFonts w:asciiTheme="minorHAnsi" w:hAnsiTheme="minorHAnsi" w:cstheme="minorBidi"/>
          <w:color w:val="auto"/>
          <w:kern w:val="2"/>
          <w:sz w:val="22"/>
          <w:szCs w:val="22"/>
        </w:rPr>
        <w:t xml:space="preserve">aveva </w:t>
      </w:r>
      <w:r w:rsidRPr="00F92992">
        <w:rPr>
          <w:rFonts w:asciiTheme="minorHAnsi" w:hAnsiTheme="minorHAnsi" w:cstheme="minorBidi"/>
          <w:color w:val="auto"/>
          <w:kern w:val="2"/>
          <w:sz w:val="22"/>
          <w:szCs w:val="22"/>
        </w:rPr>
        <w:t>evidenzia</w:t>
      </w:r>
      <w:r w:rsidR="002768B8">
        <w:rPr>
          <w:rFonts w:asciiTheme="minorHAnsi" w:hAnsiTheme="minorHAnsi" w:cstheme="minorBidi"/>
          <w:color w:val="auto"/>
          <w:kern w:val="2"/>
          <w:sz w:val="22"/>
          <w:szCs w:val="22"/>
        </w:rPr>
        <w:t>to</w:t>
      </w:r>
      <w:r w:rsidRPr="00F92992">
        <w:rPr>
          <w:rFonts w:asciiTheme="minorHAnsi" w:hAnsiTheme="minorHAnsi" w:cstheme="minorBidi"/>
          <w:color w:val="auto"/>
          <w:kern w:val="2"/>
          <w:sz w:val="22"/>
          <w:szCs w:val="22"/>
        </w:rPr>
        <w:t xml:space="preserve"> come </w:t>
      </w:r>
      <w:r>
        <w:rPr>
          <w:rFonts w:asciiTheme="minorHAnsi" w:hAnsiTheme="minorHAnsi" w:cstheme="minorBidi"/>
          <w:color w:val="auto"/>
          <w:kern w:val="2"/>
          <w:sz w:val="22"/>
          <w:szCs w:val="22"/>
        </w:rPr>
        <w:t xml:space="preserve">in questi anni </w:t>
      </w:r>
      <w:r w:rsidRPr="00F92992">
        <w:rPr>
          <w:rFonts w:asciiTheme="minorHAnsi" w:hAnsiTheme="minorHAnsi" w:cstheme="minorBidi"/>
          <w:color w:val="auto"/>
          <w:kern w:val="2"/>
          <w:sz w:val="22"/>
          <w:szCs w:val="22"/>
        </w:rPr>
        <w:t>si siano formati più indirizzi sulla questione, in particolare sottolinea</w:t>
      </w:r>
      <w:r w:rsidR="002768B8">
        <w:rPr>
          <w:rFonts w:asciiTheme="minorHAnsi" w:hAnsiTheme="minorHAnsi" w:cstheme="minorBidi"/>
          <w:color w:val="auto"/>
          <w:kern w:val="2"/>
          <w:sz w:val="22"/>
          <w:szCs w:val="22"/>
        </w:rPr>
        <w:t>va</w:t>
      </w:r>
      <w:r w:rsidRPr="00F92992">
        <w:rPr>
          <w:rFonts w:asciiTheme="minorHAnsi" w:hAnsiTheme="minorHAnsi" w:cstheme="minorBidi"/>
          <w:color w:val="auto"/>
          <w:kern w:val="2"/>
          <w:sz w:val="22"/>
          <w:szCs w:val="22"/>
        </w:rPr>
        <w:t xml:space="preserve"> che: “</w:t>
      </w:r>
      <w:r w:rsidRPr="00F92992">
        <w:rPr>
          <w:rFonts w:asciiTheme="minorHAnsi" w:hAnsiTheme="minorHAnsi" w:cstheme="minorBidi"/>
          <w:i/>
          <w:iCs/>
          <w:color w:val="auto"/>
          <w:kern w:val="2"/>
          <w:sz w:val="22"/>
          <w:szCs w:val="22"/>
        </w:rPr>
        <w:t>la definizione di "canone patrimoniale", unitamente alla constatazione della natura eterogenea degli istituti accorpati (la giurisprudenza di nomofilachia riconosceva, ad esempio, la giurisdizione tributaria per la Tosap, e quella ordinaria per la Cosap; cfr., ex multis,</w:t>
      </w:r>
      <w:r w:rsidR="002768B8">
        <w:rPr>
          <w:rFonts w:asciiTheme="minorHAnsi" w:hAnsiTheme="minorHAnsi" w:cstheme="minorBidi"/>
          <w:i/>
          <w:iCs/>
          <w:color w:val="auto"/>
          <w:kern w:val="2"/>
          <w:sz w:val="22"/>
          <w:szCs w:val="22"/>
        </w:rPr>
        <w:t xml:space="preserve"> </w:t>
      </w:r>
      <w:r w:rsidRPr="00F92992">
        <w:rPr>
          <w:rFonts w:asciiTheme="minorHAnsi" w:hAnsiTheme="minorHAnsi" w:cstheme="minorBidi"/>
          <w:i/>
          <w:iCs/>
          <w:color w:val="auto"/>
          <w:kern w:val="2"/>
          <w:sz w:val="22"/>
          <w:szCs w:val="22"/>
        </w:rPr>
        <w:t xml:space="preserve">Cass.25451/2019), ha condotto a differenti orientamenti in punto di giurisdizione. </w:t>
      </w:r>
    </w:p>
    <w:p w14:paraId="65E0FDAE" w14:textId="77777777" w:rsidR="00F92992" w:rsidRPr="00F92992" w:rsidRDefault="00F92992" w:rsidP="00F92992">
      <w:pPr>
        <w:pStyle w:val="Default"/>
        <w:jc w:val="both"/>
        <w:rPr>
          <w:rFonts w:asciiTheme="minorHAnsi" w:hAnsiTheme="minorHAnsi" w:cstheme="minorBidi"/>
          <w:i/>
          <w:iCs/>
          <w:color w:val="auto"/>
          <w:kern w:val="2"/>
          <w:sz w:val="22"/>
          <w:szCs w:val="22"/>
        </w:rPr>
      </w:pPr>
    </w:p>
    <w:p w14:paraId="45E40E71" w14:textId="499669EA" w:rsidR="00F92992" w:rsidRDefault="002768B8" w:rsidP="00F92992">
      <w:pPr>
        <w:pStyle w:val="Default"/>
        <w:jc w:val="both"/>
        <w:rPr>
          <w:rFonts w:asciiTheme="minorHAnsi" w:hAnsiTheme="minorHAnsi" w:cstheme="minorBidi"/>
          <w:i/>
          <w:iCs/>
          <w:color w:val="auto"/>
          <w:kern w:val="2"/>
          <w:sz w:val="22"/>
          <w:szCs w:val="22"/>
        </w:rPr>
      </w:pPr>
      <w:r w:rsidRPr="002768B8">
        <w:rPr>
          <w:rFonts w:asciiTheme="minorHAnsi" w:hAnsiTheme="minorHAnsi" w:cstheme="minorBidi"/>
          <w:color w:val="auto"/>
          <w:kern w:val="2"/>
          <w:sz w:val="22"/>
          <w:szCs w:val="22"/>
        </w:rPr>
        <w:t>I giudici tributari di Vicenza evidenziavano i diversi indirizzi presi dalla giurisprudenza sul tema</w:t>
      </w:r>
      <w:r>
        <w:rPr>
          <w:rFonts w:asciiTheme="minorHAnsi" w:hAnsiTheme="minorHAnsi" w:cstheme="minorBidi"/>
          <w:i/>
          <w:iCs/>
          <w:color w:val="auto"/>
          <w:kern w:val="2"/>
          <w:sz w:val="22"/>
          <w:szCs w:val="22"/>
        </w:rPr>
        <w:t>: “</w:t>
      </w:r>
      <w:r w:rsidR="00F92992" w:rsidRPr="00F92992">
        <w:rPr>
          <w:rFonts w:asciiTheme="minorHAnsi" w:hAnsiTheme="minorHAnsi" w:cstheme="minorBidi"/>
          <w:i/>
          <w:iCs/>
          <w:color w:val="auto"/>
          <w:kern w:val="2"/>
          <w:sz w:val="22"/>
          <w:szCs w:val="22"/>
        </w:rPr>
        <w:t>Secondo un primo indirizzo (ex multis, CGT II Friuli V.G. 38/2024; CGT Pordenone 65/2022; CGT Reggio Emilia 178/2022; CGT II Liguria 799/2024,</w:t>
      </w:r>
      <w:r>
        <w:rPr>
          <w:rFonts w:asciiTheme="minorHAnsi" w:hAnsiTheme="minorHAnsi" w:cstheme="minorBidi"/>
          <w:i/>
          <w:iCs/>
          <w:color w:val="auto"/>
          <w:kern w:val="2"/>
          <w:sz w:val="22"/>
          <w:szCs w:val="22"/>
        </w:rPr>
        <w:t xml:space="preserve"> </w:t>
      </w:r>
      <w:r w:rsidR="00F92992" w:rsidRPr="00F92992">
        <w:rPr>
          <w:rFonts w:asciiTheme="minorHAnsi" w:hAnsiTheme="minorHAnsi" w:cstheme="minorBidi"/>
          <w:i/>
          <w:iCs/>
          <w:color w:val="auto"/>
          <w:kern w:val="2"/>
          <w:sz w:val="22"/>
          <w:szCs w:val="22"/>
        </w:rPr>
        <w:t xml:space="preserve">TAR Brescia 576/2023), la giurisdizione sul nuovo CUP spetterebbe al giudice tributario, in quanto, al di là del nomen iuris attribuito dal legislatore, al canone in questione andrebbe riconosciuta natura sostanziale di tributo. </w:t>
      </w:r>
    </w:p>
    <w:p w14:paraId="3510CE3A" w14:textId="77777777" w:rsidR="00F92992" w:rsidRPr="00F92992" w:rsidRDefault="00F92992" w:rsidP="00F92992">
      <w:pPr>
        <w:pStyle w:val="Default"/>
        <w:jc w:val="both"/>
        <w:rPr>
          <w:rFonts w:asciiTheme="minorHAnsi" w:hAnsiTheme="minorHAnsi" w:cstheme="minorBidi"/>
          <w:i/>
          <w:iCs/>
          <w:color w:val="auto"/>
          <w:kern w:val="2"/>
          <w:sz w:val="22"/>
          <w:szCs w:val="22"/>
        </w:rPr>
      </w:pPr>
    </w:p>
    <w:p w14:paraId="590ADF43" w14:textId="06A02ACB" w:rsidR="00F92992" w:rsidRDefault="00F92992" w:rsidP="00F92992">
      <w:pPr>
        <w:pStyle w:val="Default"/>
        <w:jc w:val="both"/>
        <w:rPr>
          <w:rFonts w:asciiTheme="minorHAnsi" w:hAnsiTheme="minorHAnsi" w:cstheme="minorBidi"/>
          <w:i/>
          <w:iCs/>
          <w:color w:val="auto"/>
          <w:kern w:val="2"/>
          <w:sz w:val="22"/>
          <w:szCs w:val="22"/>
        </w:rPr>
      </w:pPr>
      <w:r w:rsidRPr="00F92992">
        <w:rPr>
          <w:rFonts w:asciiTheme="minorHAnsi" w:hAnsiTheme="minorHAnsi" w:cstheme="minorBidi"/>
          <w:i/>
          <w:iCs/>
          <w:color w:val="auto"/>
          <w:kern w:val="2"/>
          <w:sz w:val="22"/>
          <w:szCs w:val="22"/>
        </w:rPr>
        <w:t>Un altro orientamento (ex multis,</w:t>
      </w:r>
      <w:r w:rsidR="002768B8">
        <w:rPr>
          <w:rFonts w:asciiTheme="minorHAnsi" w:hAnsiTheme="minorHAnsi" w:cstheme="minorBidi"/>
          <w:i/>
          <w:iCs/>
          <w:color w:val="auto"/>
          <w:kern w:val="2"/>
          <w:sz w:val="22"/>
          <w:szCs w:val="22"/>
        </w:rPr>
        <w:t xml:space="preserve"> </w:t>
      </w:r>
      <w:r w:rsidRPr="00F92992">
        <w:rPr>
          <w:rFonts w:asciiTheme="minorHAnsi" w:hAnsiTheme="minorHAnsi" w:cstheme="minorBidi"/>
          <w:i/>
          <w:iCs/>
          <w:color w:val="auto"/>
          <w:kern w:val="2"/>
          <w:sz w:val="22"/>
          <w:szCs w:val="22"/>
        </w:rPr>
        <w:t xml:space="preserve">TAR Lazio 3248/2022, Trib. Macerata 902/2023, Trib. Modena 41/2025) ritiene invece che la giurisdizione debba radicarsi in capo al giudice ordinario, "in quanto trattasi di atti contenenti la quantificazione di mere pretese patrimoniali della Pubblica Amministrazione, privi di qualsiasi valenza provvedi mentale" (Trib. Macerata 902/2023). La tesi si fonda non soltanto sul dato testuale, ma anche sulla considerazione che esso costituirebbe un riflesso della volontà del legislatore di creare un'entrata di natura patrimoniale, avente natura corrispettiva. </w:t>
      </w:r>
    </w:p>
    <w:p w14:paraId="1EDB53D7" w14:textId="77777777" w:rsidR="00F92992" w:rsidRPr="00F92992" w:rsidRDefault="00F92992" w:rsidP="00F92992">
      <w:pPr>
        <w:pStyle w:val="Default"/>
        <w:jc w:val="both"/>
        <w:rPr>
          <w:rFonts w:asciiTheme="minorHAnsi" w:hAnsiTheme="minorHAnsi" w:cstheme="minorBidi"/>
          <w:i/>
          <w:iCs/>
          <w:color w:val="auto"/>
          <w:kern w:val="2"/>
          <w:sz w:val="22"/>
          <w:szCs w:val="22"/>
        </w:rPr>
      </w:pPr>
    </w:p>
    <w:p w14:paraId="315E26C4" w14:textId="77777777" w:rsidR="00F92992" w:rsidRDefault="00F92992" w:rsidP="00F92992">
      <w:pPr>
        <w:jc w:val="both"/>
        <w:rPr>
          <w:i/>
          <w:iCs/>
        </w:rPr>
      </w:pPr>
      <w:r w:rsidRPr="00F92992">
        <w:rPr>
          <w:i/>
          <w:iCs/>
        </w:rPr>
        <w:t xml:space="preserve">Un orientamento intermedio ritiene invece che si debba indagare caso per caso, dovendosi perciò distinguere, con riguardo al contenuto concreto della pretesa, fra il canone richiesto per la pubblicità e quello per la concessione di spazi ed aree. In questo senso, CGT II Liguria 799/2024 afferma che "L'intenzione legislativa non pare quella di istituire ex novo un tributo (o prestazione patrimoniale) quanto, piuttosto, di mutare denominazione fermi i precedenti presupposti, di fatto ripresi nel nuovo tessuto normativo", per cui il CUP "in tema pubblicità si pone in netta continuità con la normativa che precedentemente disciplinava l'imposta in questione e la cui natura senza alcun dubbio era ed è tributaria.” </w:t>
      </w:r>
    </w:p>
    <w:p w14:paraId="39429617" w14:textId="4AB8DF5F" w:rsidR="000E5529" w:rsidRPr="00F92992" w:rsidRDefault="00F92992" w:rsidP="00F92992">
      <w:pPr>
        <w:jc w:val="both"/>
      </w:pPr>
      <w:r w:rsidRPr="00F92992">
        <w:t>I giudici della CGT di Vicenza sembrano condividere la posizione assunta dalla Corte Regionale della Liguria, nell’andare a distinguere la fattispecie di cui alla lett. a) del comma 819 nell'alveo della giurisdizione ordinaria, e quella di cui alla lett. b) nell'alveo di quella ordinaria, ritenendo così che, all'interno del canone unico, continuino a convivere una componente patrimoniale ed una tributaria, tali da richiedere una diversificazione dei rimedi giurisdizionali esperibili.</w:t>
      </w:r>
    </w:p>
    <w:p w14:paraId="6F41047D" w14:textId="3CBEBE40" w:rsidR="000E5529" w:rsidRDefault="00AF1D81" w:rsidP="00F92992">
      <w:pPr>
        <w:jc w:val="both"/>
        <w:rPr>
          <w:b/>
          <w:bCs/>
        </w:rPr>
      </w:pPr>
      <w:r>
        <w:rPr>
          <w:b/>
          <w:bCs/>
        </w:rPr>
        <w:t xml:space="preserve">Il decreto </w:t>
      </w:r>
      <w:r w:rsidRPr="00AF1D81">
        <w:rPr>
          <w:b/>
          <w:bCs/>
        </w:rPr>
        <w:t>RG 7546</w:t>
      </w:r>
      <w:r>
        <w:rPr>
          <w:b/>
          <w:bCs/>
        </w:rPr>
        <w:t xml:space="preserve">/2025 della </w:t>
      </w:r>
      <w:r w:rsidR="00F92992" w:rsidRPr="00F92992">
        <w:rPr>
          <w:b/>
          <w:bCs/>
        </w:rPr>
        <w:t>Corte di C</w:t>
      </w:r>
      <w:r w:rsidR="00F92992">
        <w:rPr>
          <w:b/>
          <w:bCs/>
        </w:rPr>
        <w:t>a</w:t>
      </w:r>
      <w:r w:rsidR="00F92992" w:rsidRPr="00F92992">
        <w:rPr>
          <w:b/>
          <w:bCs/>
        </w:rPr>
        <w:t xml:space="preserve">ssazione </w:t>
      </w:r>
    </w:p>
    <w:p w14:paraId="5AEBA518" w14:textId="5C0402B4" w:rsidR="00F92992" w:rsidRDefault="00F92992" w:rsidP="00F92992">
      <w:pPr>
        <w:jc w:val="both"/>
      </w:pPr>
      <w:r w:rsidRPr="00F92992">
        <w:lastRenderedPageBreak/>
        <w:t xml:space="preserve">La Suprema Corte rileva come vi siano i presupposti per </w:t>
      </w:r>
      <w:r>
        <w:t xml:space="preserve">assumere </w:t>
      </w:r>
      <w:r w:rsidRPr="00F92992">
        <w:t>la richiesta della CGT di Vicenza</w:t>
      </w:r>
      <w:r>
        <w:t xml:space="preserve"> sulla questione di giurisdizione</w:t>
      </w:r>
      <w:r w:rsidRPr="00F92992">
        <w:t>, specificando</w:t>
      </w:r>
      <w:r w:rsidR="00AF1D81">
        <w:t xml:space="preserve"> </w:t>
      </w:r>
      <w:r w:rsidR="002768B8">
        <w:t xml:space="preserve">in particolare che la questione </w:t>
      </w:r>
      <w:r>
        <w:t>è rilevabile d’ufficio e deve essere vagliata per definir</w:t>
      </w:r>
      <w:r w:rsidR="002768B8">
        <w:t>n</w:t>
      </w:r>
      <w:r>
        <w:t xml:space="preserve">e il giudizio, </w:t>
      </w:r>
      <w:r w:rsidR="002768B8">
        <w:t xml:space="preserve">che </w:t>
      </w:r>
      <w:r>
        <w:t xml:space="preserve">non è stata ancora risolta dalla Corte di Cassazione, </w:t>
      </w:r>
      <w:r w:rsidR="002768B8">
        <w:t xml:space="preserve">che </w:t>
      </w:r>
      <w:r>
        <w:t>presenta gravi difficoltà interpretative</w:t>
      </w:r>
      <w:r w:rsidR="002768B8">
        <w:t xml:space="preserve"> e, </w:t>
      </w:r>
      <w:r>
        <w:t>come attestato dalla diversificazione delle soluzioni adottate</w:t>
      </w:r>
      <w:r w:rsidR="002768B8">
        <w:t>, che</w:t>
      </w:r>
      <w:r w:rsidR="00A8743E">
        <w:t xml:space="preserve"> è suscettibile di porsi in numerosi giudizi.</w:t>
      </w:r>
    </w:p>
    <w:p w14:paraId="7CF83F32" w14:textId="40BF7563" w:rsidR="000E5529" w:rsidRDefault="00A8743E" w:rsidP="00F92992">
      <w:pPr>
        <w:jc w:val="both"/>
        <w:rPr>
          <w:i/>
          <w:iCs/>
        </w:rPr>
      </w:pPr>
      <w:r>
        <w:t xml:space="preserve">Scrive la Cassazione: </w:t>
      </w:r>
      <w:r w:rsidRPr="00A8743E">
        <w:rPr>
          <w:i/>
          <w:iCs/>
        </w:rPr>
        <w:t>“In definitiva, la natura eterogenea degli istituti accorpati con il nuovo canone unico patrimoniale non consente, allo stato, di individuare un chiaro sviluppo della giurisprudenza formatasi nella pregressa disciplina per dirimere la questione sollevata nell'ordinanza di rinvio pregiudiziale.”</w:t>
      </w:r>
    </w:p>
    <w:p w14:paraId="5FC77CC1" w14:textId="77777777" w:rsidR="00A8743E" w:rsidRDefault="00A8743E" w:rsidP="00F92992">
      <w:pPr>
        <w:jc w:val="both"/>
      </w:pPr>
      <w:r>
        <w:t xml:space="preserve">La corte ripercorre le sentenze disponibili sul tema, evidenziando come molte di esse riconoscono la natura tributaria alla componente pubblicitaria. </w:t>
      </w:r>
    </w:p>
    <w:p w14:paraId="0AAEA319" w14:textId="2F31FC7D" w:rsidR="00A8743E" w:rsidRDefault="00A8743E" w:rsidP="00F92992">
      <w:pPr>
        <w:jc w:val="both"/>
        <w:rPr>
          <w:i/>
          <w:iCs/>
        </w:rPr>
      </w:pPr>
      <w:r>
        <w:t>La CGT di secondo grado del Friuli Venezia Giulia, nella sentenza n. 38 del 02/02/2024,</w:t>
      </w:r>
      <w:r w:rsidRPr="00A8743E">
        <w:t xml:space="preserve"> emessa sempre con specifico riguardo al canone previsto dalla lett. b) del comma 819 dell'art. 1 I. n. 160 del 2019, dopo aver affermato che il prelievo di cui si tratta </w:t>
      </w:r>
      <w:r w:rsidRPr="00A8743E">
        <w:rPr>
          <w:i/>
          <w:iCs/>
        </w:rPr>
        <w:t>«si pone in netta continuità con la normativa che precedentemente disciplinava le imposte in questione e la cui natura senza alcun dubbia era ed è tributaria»</w:t>
      </w:r>
      <w:r>
        <w:rPr>
          <w:i/>
          <w:iCs/>
        </w:rPr>
        <w:t>.</w:t>
      </w:r>
    </w:p>
    <w:p w14:paraId="1DA82C0F" w14:textId="4CC08CEB" w:rsidR="00A8743E" w:rsidRDefault="00A8743E" w:rsidP="00A8743E">
      <w:pPr>
        <w:jc w:val="both"/>
        <w:rPr>
          <w:i/>
          <w:iCs/>
        </w:rPr>
      </w:pPr>
      <w:r>
        <w:t>L</w:t>
      </w:r>
      <w:r w:rsidRPr="00A8743E">
        <w:t>a CGT</w:t>
      </w:r>
      <w:r w:rsidR="00DD622C">
        <w:t xml:space="preserve"> di primo grado di </w:t>
      </w:r>
      <w:r w:rsidRPr="00A8743E">
        <w:t>Reggio Emilia</w:t>
      </w:r>
      <w:r w:rsidR="00DD622C">
        <w:t xml:space="preserve">, </w:t>
      </w:r>
      <w:r w:rsidRPr="00A8743E">
        <w:t>sentenza n. 178 del 26 settembre 2022, dopo aver riportato il contenuto dei commi 816, 817, 819, 820, 821 e</w:t>
      </w:r>
      <w:r w:rsidR="00DD622C">
        <w:t xml:space="preserve"> </w:t>
      </w:r>
      <w:r w:rsidRPr="00A8743E">
        <w:t xml:space="preserve">823 dell'art. 1 l. n. 160 del 2019, afferma che dalla lettura di essi appare chiaramente che </w:t>
      </w:r>
      <w:r w:rsidRPr="00DD622C">
        <w:rPr>
          <w:i/>
          <w:iCs/>
        </w:rPr>
        <w:t>«il canone patrimoniale per l'esposizione pubblicitaria abbia natura tributaria posto che sostituisce, e ne mantiene gli stessi presupposti imponibili, soggetti d'imposta ed ente impositore l'imposta comunale sulla pubblicità; ne consegue come il richiamato canone abbia natura tributaria con l'ulteriore conseguenza della piena giurisdizione delle Corti Tributarie a decidere sulle relativi liti tra enti impositori e soggetti d'imposta».</w:t>
      </w:r>
    </w:p>
    <w:p w14:paraId="6EC3BA16" w14:textId="17B7BE8B" w:rsidR="00DD622C" w:rsidRDefault="00DD622C" w:rsidP="00A8743E">
      <w:pPr>
        <w:jc w:val="both"/>
      </w:pPr>
      <w:r w:rsidRPr="00DD622C">
        <w:t>Sulla stessa linea si pone anche la CGT</w:t>
      </w:r>
      <w:r>
        <w:t xml:space="preserve"> di secondo grado della</w:t>
      </w:r>
      <w:r w:rsidRPr="00DD622C">
        <w:t xml:space="preserve"> Lombardia</w:t>
      </w:r>
      <w:r>
        <w:t xml:space="preserve">, </w:t>
      </w:r>
      <w:r w:rsidRPr="00DD622C">
        <w:t>sentenza n. 2654 del 15 ottobre 2024, secondo cui il prelievo operato dagli enti territoriali ha certamente natura tributaria e per tale ragione deve essere destinato alla competenza del giudice tributario.</w:t>
      </w:r>
    </w:p>
    <w:p w14:paraId="79CED14C" w14:textId="408A5D1B" w:rsidR="00DD622C" w:rsidRDefault="00DD622C" w:rsidP="00A8743E">
      <w:pPr>
        <w:jc w:val="both"/>
      </w:pPr>
      <w:r>
        <w:t xml:space="preserve">Mentre il TAR Lombardia sezione di Brescia nella sentenza 576 del 10 luglio 2023, offre elementi per escludere la natura tributaria del CUP. In particolare il TAR </w:t>
      </w:r>
      <w:r w:rsidRPr="00DD622C">
        <w:t>si chiede se</w:t>
      </w:r>
      <w:r>
        <w:t xml:space="preserve"> applicando i criteri </w:t>
      </w:r>
      <w:r w:rsidRPr="00DD622C">
        <w:t>per</w:t>
      </w:r>
      <w:r>
        <w:t xml:space="preserve"> individuare una fattispecie tributaria </w:t>
      </w:r>
      <w:r w:rsidRPr="00DD622C">
        <w:t xml:space="preserve">si ottengano i medesimi risultati per tutte le componenti del canone unico patrimoniale, ossia - formulando in altro modo l'interrogativo - </w:t>
      </w:r>
      <w:r w:rsidRPr="00DD622C">
        <w:rPr>
          <w:i/>
          <w:iCs/>
        </w:rPr>
        <w:t>se l'introduzione di una fattispecie unitaria abbia solo una funzione di riordino di norme in precedenza sparse in più fonti, o se al contrario implichi una nozione di bene pubblico in grado di fornire un comune denominatore a tutte le componenti del canone. Quanto al caso di occupazione di beni pubblici materiali, tipicamente del suolo e del sottosuolo, l'individuazione di un rapporto sinallagmatico è immediata, cosicché non vi sono problemi a ipotizzare l'estensione del modello COSAP a tutte le fattispecie coinvolgenti un uso particolare dei suddetti beni; invece, nel caso della diffusione di messaggi pubblicitari, il bene pubblico di cui viene autorizzato un uso particolare è meno facilmente individuabile, in quanto ha carattere immateriale, ma viene fatto coincidere dal giudice amministrativo con il paesaggio urbano, «partendo dalla premessa che la moderna pianificazione urbanistica ha ormai acquisito il concetto di incidenza paesistica anche al di fuori delle zone vincolate, e considerando poi che nel testo normativo vi è un chiaro disaccoppiamento tra il canone unico patrimoniale e gli elementi indicativi della capacità contributiva».</w:t>
      </w:r>
      <w:r w:rsidRPr="00DD622C">
        <w:t xml:space="preserve"> </w:t>
      </w:r>
    </w:p>
    <w:p w14:paraId="6B15D01D" w14:textId="046F3BA9" w:rsidR="00A8473E" w:rsidRDefault="00A8473E" w:rsidP="00A8743E">
      <w:pPr>
        <w:jc w:val="both"/>
      </w:pPr>
      <w:r>
        <w:t>Il TAR Lazio nella sentenza 3248 del 21/03/2022 non affronta direttamente il tema</w:t>
      </w:r>
      <w:r w:rsidR="00A66FF8">
        <w:t>, tuttavia</w:t>
      </w:r>
      <w:r>
        <w:t xml:space="preserve"> afferma che: </w:t>
      </w:r>
      <w:r w:rsidRPr="00A8473E">
        <w:rPr>
          <w:i/>
          <w:iCs/>
        </w:rPr>
        <w:t>«Il canone unico patrimoniale è quindi, a sua volta, una prestazione patrimoniale imposta che sostituisce tutte le precedenti forme di imposizione poste a carico dei soggetti che, a vario titolo, occupano il suolo pubblico o pongono in essere atti di diffusione di messaggi pubblicitari su beni pubblici o privati.».</w:t>
      </w:r>
    </w:p>
    <w:p w14:paraId="163EB882" w14:textId="417CEB2C" w:rsidR="00365969" w:rsidRPr="00A8473E" w:rsidRDefault="00A66FF8" w:rsidP="00A8743E">
      <w:pPr>
        <w:jc w:val="both"/>
        <w:rPr>
          <w:i/>
          <w:iCs/>
        </w:rPr>
      </w:pPr>
      <w:r>
        <w:t>T</w:t>
      </w:r>
      <w:r w:rsidR="00A8473E">
        <w:t>ra le decisioni di merito che hanno affermato la giurisdizione del Giudice Ordinario</w:t>
      </w:r>
      <w:r>
        <w:t>,</w:t>
      </w:r>
      <w:r w:rsidR="00A8473E">
        <w:t xml:space="preserve"> la Corte si sofferma </w:t>
      </w:r>
      <w:r>
        <w:t xml:space="preserve">in particolare </w:t>
      </w:r>
      <w:r w:rsidR="00A8473E">
        <w:t xml:space="preserve">sulla sentenza del Tribunale di Padova, </w:t>
      </w:r>
      <w:r>
        <w:t>la</w:t>
      </w:r>
      <w:r w:rsidR="00A8473E">
        <w:t xml:space="preserve"> n. 1381 del 01/08/2024 secondo cui: </w:t>
      </w:r>
      <w:r w:rsidR="00A8473E" w:rsidRPr="00A8473E">
        <w:rPr>
          <w:i/>
          <w:iCs/>
        </w:rPr>
        <w:t xml:space="preserve">«il canone oggetto </w:t>
      </w:r>
      <w:r w:rsidR="00A8473E" w:rsidRPr="00A8473E">
        <w:rPr>
          <w:i/>
          <w:iCs/>
        </w:rPr>
        <w:lastRenderedPageBreak/>
        <w:t>di causa è previsto dalla disposizione di cui all'art.1 comma 816 della L.160/19, che ha istituito il canone patrimoniale di concessione autorizzazione o esposizione pubblicitaria inglobando, fra l'altro, la tassa per l'occupazione di spazi ed aree pubbliche, il canone per l'occupazione di spazi ed aree pubbliche, l'imposta comunale sulla pubblicità e il diritto sulle pubbliche affissioni e il canone per l'installazione dei mezzi pubblicitari, con ciò mantenendo almeno in parte la natura sostanziale di tributo pubblico, riconducibile in senso lato alla categoria delle imposte e tasse, che in quanto non espressamente compreso nei rapporti devoluti alla competenza della giurisdizione tributaria, resta riservato alla competenza per materia del Tribunale».</w:t>
      </w:r>
    </w:p>
    <w:p w14:paraId="4FC184CA" w14:textId="736ED6AC" w:rsidR="00A8473E" w:rsidRDefault="00A8473E" w:rsidP="00A8743E">
      <w:pPr>
        <w:jc w:val="both"/>
      </w:pPr>
      <w:r>
        <w:t xml:space="preserve">In conclusione, la Suprema Corte, </w:t>
      </w:r>
      <w:r w:rsidR="00A66FF8">
        <w:t xml:space="preserve">con il suo provvedimento, </w:t>
      </w:r>
      <w:r>
        <w:t xml:space="preserve">dispone che a fronte delle difficoltà interpretative è opportuno dirimere l’emergente questione, suscettibile </w:t>
      </w:r>
      <w:r w:rsidR="00A66FF8">
        <w:t xml:space="preserve">peraltro </w:t>
      </w:r>
      <w:r>
        <w:t>di essere riproposta in numerosi giudizi, su un tema a carattere pregiudiziale come la giurisdizione. Ecco quindi che il rinvio disposto dalla CGT di Vicenza è stato dichiarato ammissibile e</w:t>
      </w:r>
      <w:r w:rsidR="00A66FF8">
        <w:t>d è stato</w:t>
      </w:r>
      <w:r>
        <w:t xml:space="preserve"> assegnato alle Sezioni Unite.</w:t>
      </w:r>
    </w:p>
    <w:p w14:paraId="65F09B4C" w14:textId="5B72EB52" w:rsidR="00DD622C" w:rsidRDefault="00CE64DE" w:rsidP="00A8743E">
      <w:pPr>
        <w:jc w:val="both"/>
      </w:pPr>
      <w:r w:rsidRPr="00CE64DE">
        <w:t xml:space="preserve">Da questo momento non resta che attendere l’esito che andrà </w:t>
      </w:r>
      <w:r>
        <w:t xml:space="preserve">certamente </w:t>
      </w:r>
      <w:r w:rsidRPr="00CE64DE">
        <w:t xml:space="preserve">a </w:t>
      </w:r>
      <w:r>
        <w:t>condizionare</w:t>
      </w:r>
      <w:r w:rsidRPr="00CE64DE">
        <w:t xml:space="preserve"> </w:t>
      </w:r>
      <w:r>
        <w:t>la</w:t>
      </w:r>
      <w:r w:rsidRPr="00CE64DE">
        <w:t xml:space="preserve"> vita e </w:t>
      </w:r>
      <w:r>
        <w:t xml:space="preserve">la </w:t>
      </w:r>
      <w:r w:rsidRPr="00CE64DE">
        <w:t>disciplina dell’entrata</w:t>
      </w:r>
      <w:r>
        <w:t xml:space="preserve"> stessa, e non </w:t>
      </w:r>
      <w:r w:rsidRPr="00CE64DE">
        <w:t>solo per quanto riguarda la competenza giurisdizionale</w:t>
      </w:r>
      <w:r>
        <w:t xml:space="preserve">. In particolare, sui ricorsi già pendenti andranno fatte delle  valutazione di opportunità per gestire al meglio le fasi dei diversi ricorsi </w:t>
      </w:r>
      <w:r w:rsidR="00434097">
        <w:t xml:space="preserve">radicati </w:t>
      </w:r>
      <w:r>
        <w:t xml:space="preserve">sia </w:t>
      </w:r>
      <w:r w:rsidR="00434097">
        <w:t xml:space="preserve">innanzi alla Giustizia Ordinaria, </w:t>
      </w:r>
      <w:r>
        <w:t xml:space="preserve">che </w:t>
      </w:r>
      <w:r w:rsidR="00434097">
        <w:t xml:space="preserve">Tributaria </w:t>
      </w:r>
      <w:r>
        <w:t>ch</w:t>
      </w:r>
      <w:r w:rsidR="00434097">
        <w:t xml:space="preserve">e Amministrativa </w:t>
      </w:r>
      <w:r w:rsidR="00A66FF8">
        <w:t>competente per territorio.</w:t>
      </w:r>
      <w:r w:rsidR="00A8473E">
        <w:t xml:space="preserve">  </w:t>
      </w:r>
    </w:p>
    <w:p w14:paraId="27810AE3" w14:textId="77777777" w:rsidR="00CE64DE" w:rsidRPr="00DD622C" w:rsidRDefault="00CE64DE" w:rsidP="00A8743E">
      <w:pPr>
        <w:jc w:val="both"/>
      </w:pPr>
    </w:p>
    <w:p w14:paraId="2BD91A23" w14:textId="77777777" w:rsidR="000E5529" w:rsidRDefault="000E5529" w:rsidP="00F92992">
      <w:pPr>
        <w:jc w:val="both"/>
      </w:pPr>
    </w:p>
    <w:sectPr w:rsidR="000E552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le Serif Text">
    <w:altName w:val="Cambria"/>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F68BF"/>
    <w:multiLevelType w:val="hybridMultilevel"/>
    <w:tmpl w:val="15D28698"/>
    <w:lvl w:ilvl="0" w:tplc="410015A0">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88803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4E9"/>
    <w:rsid w:val="00060149"/>
    <w:rsid w:val="000E5529"/>
    <w:rsid w:val="002653D7"/>
    <w:rsid w:val="002768B8"/>
    <w:rsid w:val="00365969"/>
    <w:rsid w:val="00434097"/>
    <w:rsid w:val="007B1496"/>
    <w:rsid w:val="00A66FF8"/>
    <w:rsid w:val="00A8473E"/>
    <w:rsid w:val="00A8743E"/>
    <w:rsid w:val="00AA24E9"/>
    <w:rsid w:val="00AF1D81"/>
    <w:rsid w:val="00CE64DE"/>
    <w:rsid w:val="00DA700F"/>
    <w:rsid w:val="00DD622C"/>
    <w:rsid w:val="00EF458B"/>
    <w:rsid w:val="00F9299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1B2B6"/>
  <w15:chartTrackingRefBased/>
  <w15:docId w15:val="{F1D82658-54C8-49B8-9BE0-6B2E10CDB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A24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AA24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AA24E9"/>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AA24E9"/>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AA24E9"/>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AA24E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A24E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A24E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A24E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A24E9"/>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AA24E9"/>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AA24E9"/>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AA24E9"/>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AA24E9"/>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AA24E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A24E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A24E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A24E9"/>
    <w:rPr>
      <w:rFonts w:eastAsiaTheme="majorEastAsia" w:cstheme="majorBidi"/>
      <w:color w:val="272727" w:themeColor="text1" w:themeTint="D8"/>
    </w:rPr>
  </w:style>
  <w:style w:type="paragraph" w:styleId="Titolo">
    <w:name w:val="Title"/>
    <w:basedOn w:val="Normale"/>
    <w:next w:val="Normale"/>
    <w:link w:val="TitoloCarattere"/>
    <w:uiPriority w:val="10"/>
    <w:qFormat/>
    <w:rsid w:val="00AA2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A24E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A24E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A24E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A24E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A24E9"/>
    <w:rPr>
      <w:i/>
      <w:iCs/>
      <w:color w:val="404040" w:themeColor="text1" w:themeTint="BF"/>
    </w:rPr>
  </w:style>
  <w:style w:type="paragraph" w:styleId="Paragrafoelenco">
    <w:name w:val="List Paragraph"/>
    <w:basedOn w:val="Normale"/>
    <w:uiPriority w:val="34"/>
    <w:qFormat/>
    <w:rsid w:val="00AA24E9"/>
    <w:pPr>
      <w:ind w:left="720"/>
      <w:contextualSpacing/>
    </w:pPr>
  </w:style>
  <w:style w:type="character" w:styleId="Enfasiintensa">
    <w:name w:val="Intense Emphasis"/>
    <w:basedOn w:val="Carpredefinitoparagrafo"/>
    <w:uiPriority w:val="21"/>
    <w:qFormat/>
    <w:rsid w:val="00AA24E9"/>
    <w:rPr>
      <w:i/>
      <w:iCs/>
      <w:color w:val="2F5496" w:themeColor="accent1" w:themeShade="BF"/>
    </w:rPr>
  </w:style>
  <w:style w:type="paragraph" w:styleId="Citazioneintensa">
    <w:name w:val="Intense Quote"/>
    <w:basedOn w:val="Normale"/>
    <w:next w:val="Normale"/>
    <w:link w:val="CitazioneintensaCarattere"/>
    <w:uiPriority w:val="30"/>
    <w:qFormat/>
    <w:rsid w:val="00AA24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AA24E9"/>
    <w:rPr>
      <w:i/>
      <w:iCs/>
      <w:color w:val="2F5496" w:themeColor="accent1" w:themeShade="BF"/>
    </w:rPr>
  </w:style>
  <w:style w:type="character" w:styleId="Riferimentointenso">
    <w:name w:val="Intense Reference"/>
    <w:basedOn w:val="Carpredefinitoparagrafo"/>
    <w:uiPriority w:val="32"/>
    <w:qFormat/>
    <w:rsid w:val="00AA24E9"/>
    <w:rPr>
      <w:b/>
      <w:bCs/>
      <w:smallCaps/>
      <w:color w:val="2F5496" w:themeColor="accent1" w:themeShade="BF"/>
      <w:spacing w:val="5"/>
    </w:rPr>
  </w:style>
  <w:style w:type="paragraph" w:customStyle="1" w:styleId="Default">
    <w:name w:val="Default"/>
    <w:rsid w:val="00F92992"/>
    <w:pPr>
      <w:autoSpaceDE w:val="0"/>
      <w:autoSpaceDN w:val="0"/>
      <w:adjustRightInd w:val="0"/>
      <w:spacing w:after="0" w:line="240" w:lineRule="auto"/>
    </w:pPr>
    <w:rPr>
      <w:rFonts w:ascii="Sole Serif Text" w:hAnsi="Sole Serif Text" w:cs="Sole Serif Text"/>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3</Pages>
  <Words>1495</Words>
  <Characters>8523</Characters>
  <Application>Microsoft Office Word</Application>
  <DocSecurity>0</DocSecurity>
  <Lines>71</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7</cp:revision>
  <dcterms:created xsi:type="dcterms:W3CDTF">2025-07-11T09:24:00Z</dcterms:created>
  <dcterms:modified xsi:type="dcterms:W3CDTF">2025-07-11T11:08:00Z</dcterms:modified>
</cp:coreProperties>
</file>