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539A" w14:textId="77010725" w:rsidR="00060149" w:rsidRDefault="008C05C6">
      <w:r>
        <w:t xml:space="preserve">Titolo: </w:t>
      </w:r>
      <w:r w:rsidRPr="008C05C6">
        <w:t>Stop agli inviti di pagamento per le occupazioni e i mezzi pubblicitari non in regola</w:t>
      </w:r>
    </w:p>
    <w:p w14:paraId="1CFEE3CC" w14:textId="79E83A63" w:rsidR="008C05C6" w:rsidRDefault="008C05C6">
      <w:r>
        <w:t>Di Alessandro Merciari</w:t>
      </w:r>
    </w:p>
    <w:p w14:paraId="0740BE2E" w14:textId="77777777" w:rsidR="008C05C6" w:rsidRDefault="008C05C6"/>
    <w:p w14:paraId="1B16BB04" w14:textId="5BD6BFF3" w:rsidR="008C05C6" w:rsidRDefault="008C05C6" w:rsidP="008C05C6">
      <w:pPr>
        <w:jc w:val="both"/>
      </w:pPr>
      <w:r>
        <w:t xml:space="preserve">In più occasioni abbiamo scritto </w:t>
      </w:r>
      <w:r w:rsidR="00F01276">
        <w:t xml:space="preserve">su </w:t>
      </w:r>
      <w:r>
        <w:t xml:space="preserve">come sia cambiata l’impostazione relativa l’attuale prelievo dedicato alle occupazioni di suolo pubblico e alle diffusioni pubblicitarie rispetto a quanto avveniva in passato con le </w:t>
      </w:r>
      <w:r w:rsidR="000F7A8C">
        <w:t>precedenti</w:t>
      </w:r>
      <w:r>
        <w:t xml:space="preserve"> entrate sostituite dal CUP.</w:t>
      </w:r>
    </w:p>
    <w:p w14:paraId="76F6C6AC" w14:textId="2CF8A54C" w:rsidR="008C05C6" w:rsidRDefault="00804496" w:rsidP="008C05C6">
      <w:pPr>
        <w:jc w:val="both"/>
      </w:pPr>
      <w:r>
        <w:t xml:space="preserve">Oggi si deve registrare </w:t>
      </w:r>
      <w:r w:rsidR="000F7A8C">
        <w:t>un collegamento e un</w:t>
      </w:r>
      <w:r>
        <w:t xml:space="preserve"> legame </w:t>
      </w:r>
      <w:r>
        <w:t>indissolubile tra la fase amministrativa di rilascio del titolo per occupare o esporre su suolo pubblico</w:t>
      </w:r>
      <w:r w:rsidR="00133ECD">
        <w:t>,</w:t>
      </w:r>
      <w:r>
        <w:t xml:space="preserve"> e la fase fiscale relativa il pagamento del canone definito secondo i criteri </w:t>
      </w:r>
      <w:r w:rsidR="00A843E7">
        <w:t xml:space="preserve">specificati nei </w:t>
      </w:r>
      <w:r>
        <w:t>comm</w:t>
      </w:r>
      <w:r w:rsidR="00133ECD">
        <w:t>i</w:t>
      </w:r>
      <w:r>
        <w:t xml:space="preserve"> 824 e 825, rispettivamente per le occupazioni di suolo e per le iniziative pubblicitarie</w:t>
      </w:r>
      <w:r w:rsidR="00133ECD">
        <w:t>.</w:t>
      </w:r>
    </w:p>
    <w:p w14:paraId="0C638C49" w14:textId="5EDE607E" w:rsidR="00A843E7" w:rsidRDefault="00A843E7" w:rsidP="008C05C6">
      <w:pPr>
        <w:jc w:val="both"/>
      </w:pPr>
      <w:r>
        <w:t xml:space="preserve">Con l’attuale disciplina si deve superare </w:t>
      </w:r>
      <w:r w:rsidR="000F7A8C">
        <w:t xml:space="preserve">in modo tranchant </w:t>
      </w:r>
      <w:r>
        <w:t xml:space="preserve">quel modello di riscossione dell’entrata basato sulle </w:t>
      </w:r>
      <w:r w:rsidR="00B17E12">
        <w:t>utenze</w:t>
      </w:r>
      <w:r>
        <w:t xml:space="preserve"> “</w:t>
      </w:r>
      <w:r w:rsidRPr="00A843E7">
        <w:rPr>
          <w:i/>
          <w:iCs/>
        </w:rPr>
        <w:t>a ruolo</w:t>
      </w:r>
      <w:r>
        <w:t>” per le quali annualmente era previsto un invito bonario al pagamento da effettuar</w:t>
      </w:r>
      <w:r w:rsidR="00B17E12">
        <w:t>si</w:t>
      </w:r>
      <w:r>
        <w:t xml:space="preserve"> entro la scadenza fissata nel Regolamento Comunale o Provinciale</w:t>
      </w:r>
      <w:r w:rsidR="00F4478C">
        <w:t>. Attività da sempre impostata</w:t>
      </w:r>
      <w:r>
        <w:t xml:space="preserve"> al </w:t>
      </w:r>
      <w:r w:rsidR="000F7A8C">
        <w:t>solo scopo di</w:t>
      </w:r>
      <w:r>
        <w:t xml:space="preserve"> regolarizzare la parte fiscale </w:t>
      </w:r>
      <w:r w:rsidR="00B17E12">
        <w:t xml:space="preserve">delle occupazioni e delle esposizioni </w:t>
      </w:r>
      <w:r>
        <w:t>con il versamento del</w:t>
      </w:r>
      <w:r w:rsidR="00B17E12">
        <w:t xml:space="preserve"> canone indipendentemente dalla presenza di un valido titolo amministrativo.</w:t>
      </w:r>
    </w:p>
    <w:p w14:paraId="1D4919AD" w14:textId="77777777" w:rsidR="00F4478C" w:rsidRDefault="00F4478C" w:rsidP="008C05C6">
      <w:pPr>
        <w:jc w:val="both"/>
      </w:pPr>
      <w:r>
        <w:t>In regime CUP, n</w:t>
      </w:r>
      <w:r w:rsidR="00B17E12">
        <w:t xml:space="preserve">on è più possibile </w:t>
      </w:r>
      <w:r w:rsidR="00333678">
        <w:t xml:space="preserve">programmare l’invio di </w:t>
      </w:r>
      <w:r w:rsidR="00B17E12">
        <w:t>un modulo di versamento ordinario per occupazioni o esposizioni pubblicitarie abusive, ovvero senza titolo o con un provvedimento di concessione o autorizzazione scaduto</w:t>
      </w:r>
      <w:r>
        <w:t>, ancorché queste siano inserite nei gestionali perché migrate dalle vecchie banche dati</w:t>
      </w:r>
      <w:r w:rsidR="00B17E12">
        <w:t>.</w:t>
      </w:r>
      <w:r w:rsidR="00333678">
        <w:t xml:space="preserve"> </w:t>
      </w:r>
    </w:p>
    <w:p w14:paraId="308326CA" w14:textId="6217BF17" w:rsidR="00B17E12" w:rsidRDefault="00B17E12" w:rsidP="008C05C6">
      <w:pPr>
        <w:jc w:val="both"/>
      </w:pPr>
      <w:r>
        <w:t xml:space="preserve">L’invio generalizzato </w:t>
      </w:r>
      <w:r w:rsidR="00333678">
        <w:t xml:space="preserve">di una richiesta di pagamento </w:t>
      </w:r>
      <w:r>
        <w:t>a tutti gli utenti che hanno posizioni di tipo permanente</w:t>
      </w:r>
      <w:r w:rsidR="00333678">
        <w:t>, indipendentemente dallo stato di validità del provvedimento amministrativo rilasciato dall’ente locale territorialmente competente, genera solo problemi e porta a</w:t>
      </w:r>
      <w:r w:rsidR="00F4478C">
        <w:t xml:space="preserve"> creare</w:t>
      </w:r>
      <w:r w:rsidR="00333678">
        <w:t xml:space="preserve"> un </w:t>
      </w:r>
      <w:r w:rsidR="00F4478C">
        <w:t>errato</w:t>
      </w:r>
      <w:r w:rsidR="00333678">
        <w:t xml:space="preserve"> affidamento da parte dei soggetti interessati.</w:t>
      </w:r>
    </w:p>
    <w:p w14:paraId="0BF0CF3C" w14:textId="17A4BBF4" w:rsidR="00333678" w:rsidRDefault="00333678" w:rsidP="008C05C6">
      <w:pPr>
        <w:jc w:val="both"/>
      </w:pPr>
      <w:r>
        <w:t xml:space="preserve">Ad esempio, ricevere una richiesta di pagamento da parte della Pubblica </w:t>
      </w:r>
      <w:r w:rsidR="00F4478C">
        <w:t>A</w:t>
      </w:r>
      <w:r>
        <w:t xml:space="preserve">mministrazione, o dalla sua società concessionaria dell’entrata, relativamente ad un cartello pubblicitario esposto lungo una strada pubblica o posto in vista di essa, porta a legittimare l’azienda a mantenere in opera </w:t>
      </w:r>
      <w:r w:rsidR="00F4478C">
        <w:t xml:space="preserve">sul demanio pubblico </w:t>
      </w:r>
      <w:r>
        <w:t xml:space="preserve">il manufatto ritenendo in qualche modo </w:t>
      </w:r>
      <w:r w:rsidR="00F4478C">
        <w:t xml:space="preserve">rinnovata </w:t>
      </w:r>
      <w:r w:rsidR="00F4478C">
        <w:t>l’autorizzazione</w:t>
      </w:r>
      <w:r w:rsidR="00F4478C">
        <w:t xml:space="preserve"> con il semplice versamento del canone.</w:t>
      </w:r>
    </w:p>
    <w:p w14:paraId="6161C0B5" w14:textId="7CE611C9" w:rsidR="00333678" w:rsidRDefault="00F4478C" w:rsidP="008C05C6">
      <w:pPr>
        <w:jc w:val="both"/>
      </w:pPr>
      <w:r>
        <w:t xml:space="preserve">Nulla di più sbagliato e fuorviante. </w:t>
      </w:r>
      <w:r w:rsidR="00333678">
        <w:t xml:space="preserve">L’attuale disciplina del Canone Unico, anche alla luce delle disposizioni contenute nel comma 822 della Legge 160/2019, non consente più di mantenere un sistema di riscossione basato sull’invio massivo e automatico delle richieste di pagamento annuale per i mezzi esposti e </w:t>
      </w:r>
      <w:r>
        <w:t xml:space="preserve">semplicemente </w:t>
      </w:r>
      <w:r w:rsidR="00333678">
        <w:t>inseriti nella banca dati annuale del canone.</w:t>
      </w:r>
    </w:p>
    <w:p w14:paraId="71057046" w14:textId="1C60E93D" w:rsidR="00333678" w:rsidRDefault="00333678" w:rsidP="008C05C6">
      <w:pPr>
        <w:jc w:val="both"/>
      </w:pPr>
      <w:r>
        <w:t>È fondamentale e imprescindibile aggiornare le banche dati dedicate alla riscossione dell’entrata, inserendo il periodo di autorizzazione</w:t>
      </w:r>
      <w:r w:rsidR="00E605E0">
        <w:t>/concessione</w:t>
      </w:r>
      <w:r>
        <w:t xml:space="preserve"> del manufatto, prevedendo un </w:t>
      </w:r>
      <w:r w:rsidR="00C42A91">
        <w:t>automatismo</w:t>
      </w:r>
      <w:r>
        <w:t xml:space="preserve"> che generi le richieste ordinarie di pagamento del Canone Unico solo durante il periodo di validità dell’atto amministrativo, alla scadenza del quale si dovrà interrompere l’invio delle richieste. </w:t>
      </w:r>
    </w:p>
    <w:p w14:paraId="30B70D0B" w14:textId="4B4EE0AA" w:rsidR="00333678" w:rsidRDefault="00E605E0" w:rsidP="008C05C6">
      <w:pPr>
        <w:jc w:val="both"/>
        <w:rPr>
          <w:i/>
          <w:iCs/>
        </w:rPr>
      </w:pPr>
      <w:r>
        <w:t>Con questa procedura, a</w:t>
      </w:r>
      <w:r w:rsidR="00333678">
        <w:t xml:space="preserve">l termine del periodo, salvo </w:t>
      </w:r>
      <w:r w:rsidR="00027D87">
        <w:t xml:space="preserve">non intervenga </w:t>
      </w:r>
      <w:r>
        <w:t xml:space="preserve">espresso </w:t>
      </w:r>
      <w:r w:rsidR="00333678">
        <w:t xml:space="preserve">rinnovo dell’autorizzazione o della concessione, </w:t>
      </w:r>
      <w:r>
        <w:t xml:space="preserve">che preveda </w:t>
      </w:r>
      <w:r w:rsidR="00C42A91">
        <w:t xml:space="preserve">il prolungamento del </w:t>
      </w:r>
      <w:r w:rsidR="00BC08FD">
        <w:t>termine</w:t>
      </w:r>
      <w:r w:rsidR="00C42A91">
        <w:t xml:space="preserve"> di validità dell’atto, si dovrà interrompere ogni attività di </w:t>
      </w:r>
      <w:r w:rsidR="00C42A91" w:rsidRPr="00BC08FD">
        <w:rPr>
          <w:i/>
          <w:iCs/>
        </w:rPr>
        <w:t>riscossione ordinaria</w:t>
      </w:r>
      <w:r w:rsidR="00C42A91">
        <w:t xml:space="preserve"> e attivare le procedure di controllo </w:t>
      </w:r>
      <w:r>
        <w:t xml:space="preserve">previste dalla normativa, </w:t>
      </w:r>
      <w:r w:rsidR="00C42A91">
        <w:t xml:space="preserve">che potranno sfociare in </w:t>
      </w:r>
      <w:r w:rsidR="00027D87">
        <w:t xml:space="preserve">una </w:t>
      </w:r>
      <w:r w:rsidR="00C42A91">
        <w:t xml:space="preserve">attività di </w:t>
      </w:r>
      <w:r>
        <w:t xml:space="preserve">accertamento con i </w:t>
      </w:r>
      <w:r w:rsidR="00C42A91">
        <w:t>recuper</w:t>
      </w:r>
      <w:r>
        <w:t>i</w:t>
      </w:r>
      <w:r w:rsidR="00C42A91">
        <w:t xml:space="preserve"> e </w:t>
      </w:r>
      <w:r>
        <w:t xml:space="preserve">le </w:t>
      </w:r>
      <w:r w:rsidR="00C42A91">
        <w:t>regolarizzazion</w:t>
      </w:r>
      <w:r>
        <w:t>i</w:t>
      </w:r>
      <w:r w:rsidR="00C42A91">
        <w:t xml:space="preserve"> previste dalla disciplina </w:t>
      </w:r>
      <w:r>
        <w:t xml:space="preserve">nei casi di rilevazione di </w:t>
      </w:r>
      <w:r w:rsidR="00C42A91">
        <w:t xml:space="preserve">manufatti </w:t>
      </w:r>
      <w:r w:rsidR="00C42A91" w:rsidRPr="00027D87">
        <w:t>abusivi</w:t>
      </w:r>
      <w:r w:rsidR="00027D87">
        <w:rPr>
          <w:i/>
          <w:iCs/>
        </w:rPr>
        <w:t xml:space="preserve"> (commi 821 e 822 L. 160/2019)</w:t>
      </w:r>
      <w:r>
        <w:rPr>
          <w:i/>
          <w:iCs/>
        </w:rPr>
        <w:t>.</w:t>
      </w:r>
    </w:p>
    <w:p w14:paraId="50C2B389" w14:textId="22E128F6" w:rsidR="00E605E0" w:rsidRDefault="00E605E0" w:rsidP="008C05C6">
      <w:pPr>
        <w:jc w:val="both"/>
      </w:pPr>
      <w:r>
        <w:t xml:space="preserve">Senza un </w:t>
      </w:r>
      <w:r w:rsidR="00027D87">
        <w:t>ripensamento</w:t>
      </w:r>
      <w:r>
        <w:t xml:space="preserve"> della procedura</w:t>
      </w:r>
      <w:r w:rsidR="00027D87">
        <w:t xml:space="preserve"> già in uso con i precedenti prelievi</w:t>
      </w:r>
      <w:r>
        <w:t>,</w:t>
      </w:r>
      <w:r w:rsidR="00027D87">
        <w:t xml:space="preserve"> quando la disciplina fiscale era </w:t>
      </w:r>
      <w:r w:rsidR="00BC08FD">
        <w:t xml:space="preserve">totalmente </w:t>
      </w:r>
      <w:r w:rsidR="00027D87">
        <w:t xml:space="preserve">svincolata da quella amministrativa, si avrà difficoltà a </w:t>
      </w:r>
      <w:r>
        <w:t xml:space="preserve">dare seguito alle </w:t>
      </w:r>
      <w:r w:rsidR="00027D87">
        <w:t xml:space="preserve">procedure di </w:t>
      </w:r>
      <w:r w:rsidR="00027D87">
        <w:lastRenderedPageBreak/>
        <w:t>accertamento</w:t>
      </w:r>
      <w:r w:rsidR="00BC08FD">
        <w:t>, con applicazione di indennità e sanzioni, e</w:t>
      </w:r>
      <w:r w:rsidR="00027D87">
        <w:t xml:space="preserve"> di rimozione delle opere abusive realizzate lungo le strade o in vista di esse. Non è ipotizzabile sostenere una posizione </w:t>
      </w:r>
      <w:r w:rsidR="00BC08FD">
        <w:t>ambigua</w:t>
      </w:r>
      <w:r w:rsidR="00027D87">
        <w:t xml:space="preserve">, con una procedura bonaria </w:t>
      </w:r>
      <w:r w:rsidR="00BC08FD">
        <w:t xml:space="preserve">ad inizio anno </w:t>
      </w:r>
      <w:r w:rsidR="00027D87">
        <w:t>per regolarizzare il pagamento del canone in relazione alle occupazioni e alle diffusioni pubblicitarie e</w:t>
      </w:r>
      <w:r w:rsidR="00BC08FD">
        <w:t>,</w:t>
      </w:r>
      <w:r w:rsidR="00027D87">
        <w:t xml:space="preserve"> </w:t>
      </w:r>
      <w:r w:rsidR="00BC08FD">
        <w:t>successivamente in corso d’anno,</w:t>
      </w:r>
      <w:r w:rsidR="00027D87">
        <w:t xml:space="preserve"> attivare procedure per la rimozione degli stessi manufatti oggetto degli inviti di pagamento.</w:t>
      </w:r>
    </w:p>
    <w:p w14:paraId="4EEFD058" w14:textId="07B501A9" w:rsidR="00BC08FD" w:rsidRDefault="00BC08FD" w:rsidP="008C05C6">
      <w:pPr>
        <w:jc w:val="both"/>
      </w:pPr>
      <w:r>
        <w:t xml:space="preserve">Questo cambio di impostazione di gestione dell’entrata è fondamentale per dare concretezza alle scelte del Legislatore e per superare vecchi modelli oramai desueti anche in ottica di </w:t>
      </w:r>
      <w:r w:rsidR="00F83C45">
        <w:t xml:space="preserve">una attenta </w:t>
      </w:r>
      <w:r>
        <w:t xml:space="preserve">tutela del demanio pubblico. </w:t>
      </w:r>
    </w:p>
    <w:p w14:paraId="300123D8" w14:textId="77777777" w:rsidR="00027D87" w:rsidRPr="00E605E0" w:rsidRDefault="00027D87" w:rsidP="008C05C6">
      <w:pPr>
        <w:jc w:val="both"/>
      </w:pPr>
    </w:p>
    <w:p w14:paraId="3C2FA37B" w14:textId="77777777" w:rsidR="00333678" w:rsidRDefault="00333678" w:rsidP="008C05C6">
      <w:pPr>
        <w:jc w:val="both"/>
      </w:pPr>
    </w:p>
    <w:p w14:paraId="43ABF252" w14:textId="77777777" w:rsidR="00133ECD" w:rsidRDefault="00133ECD" w:rsidP="008C05C6">
      <w:pPr>
        <w:jc w:val="both"/>
      </w:pPr>
    </w:p>
    <w:sectPr w:rsidR="00133E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E6"/>
    <w:rsid w:val="00027D87"/>
    <w:rsid w:val="00060149"/>
    <w:rsid w:val="000F7A8C"/>
    <w:rsid w:val="00133ECD"/>
    <w:rsid w:val="00333678"/>
    <w:rsid w:val="00734CE6"/>
    <w:rsid w:val="007B1496"/>
    <w:rsid w:val="00804496"/>
    <w:rsid w:val="008C05C6"/>
    <w:rsid w:val="009D0EF7"/>
    <w:rsid w:val="00A843E7"/>
    <w:rsid w:val="00B17E12"/>
    <w:rsid w:val="00BC08FD"/>
    <w:rsid w:val="00C42A91"/>
    <w:rsid w:val="00E605E0"/>
    <w:rsid w:val="00F01276"/>
    <w:rsid w:val="00F4478C"/>
    <w:rsid w:val="00F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3A1B"/>
  <w15:chartTrackingRefBased/>
  <w15:docId w15:val="{D7CE47B8-75E0-4F65-8255-F97E63C3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34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4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4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4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4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4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4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4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4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4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4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4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4CE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4CE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4C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4C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4C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4C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4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4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4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4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4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4C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4CE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4CE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4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4CE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4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4</cp:revision>
  <dcterms:created xsi:type="dcterms:W3CDTF">2025-06-13T06:19:00Z</dcterms:created>
  <dcterms:modified xsi:type="dcterms:W3CDTF">2025-06-13T10:36:00Z</dcterms:modified>
</cp:coreProperties>
</file>