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AF12" w14:textId="09839535" w:rsidR="006672EA" w:rsidRDefault="009148BD">
      <w:r>
        <w:t xml:space="preserve">Titolo: </w:t>
      </w:r>
      <w:r w:rsidRPr="009148BD">
        <w:t xml:space="preserve">Sul </w:t>
      </w:r>
      <w:r w:rsidR="00D87142">
        <w:t>canone</w:t>
      </w:r>
      <w:r>
        <w:t xml:space="preserve"> </w:t>
      </w:r>
      <w:r w:rsidRPr="009148BD">
        <w:t xml:space="preserve">per i servizi di rete è urgente </w:t>
      </w:r>
      <w:r w:rsidR="00D87142">
        <w:t xml:space="preserve">un </w:t>
      </w:r>
      <w:r w:rsidRPr="009148BD">
        <w:t xml:space="preserve">intervento </w:t>
      </w:r>
      <w:r w:rsidR="0055431C">
        <w:t>del Ministero</w:t>
      </w:r>
      <w:r w:rsidRPr="009148BD">
        <w:t xml:space="preserve"> delle Finanze</w:t>
      </w:r>
    </w:p>
    <w:p w14:paraId="26BCB866" w14:textId="02A3E20A" w:rsidR="009148BD" w:rsidRDefault="009148BD">
      <w:r>
        <w:t>Di Alessandro Merciari</w:t>
      </w:r>
    </w:p>
    <w:p w14:paraId="3ACA8BE8" w14:textId="77777777" w:rsidR="009148BD" w:rsidRDefault="009148BD"/>
    <w:p w14:paraId="70AF2001" w14:textId="42124D67" w:rsidR="009148BD" w:rsidRDefault="009148BD" w:rsidP="00E30BD3">
      <w:pPr>
        <w:jc w:val="both"/>
      </w:pPr>
      <w:r>
        <w:t xml:space="preserve">Al quinto anno di applicazione del CUP istituito con il comma 816 della Legge 160/2019 in relazione alle occupazioni di suolo pubblico e alle diffusioni pubblicitarie, sono ancora molti i nodi da sciogliere sulla corretta applicazione dell’entrata. </w:t>
      </w:r>
    </w:p>
    <w:p w14:paraId="78D5E2F5" w14:textId="0057FAF8" w:rsidR="009148BD" w:rsidRDefault="009148BD" w:rsidP="00E30BD3">
      <w:pPr>
        <w:jc w:val="both"/>
      </w:pPr>
      <w:r>
        <w:t xml:space="preserve">Tra i tanti, oggi è urgente chiarire </w:t>
      </w:r>
      <w:r w:rsidR="00D87142">
        <w:t>il</w:t>
      </w:r>
      <w:r>
        <w:t xml:space="preserve"> corrett</w:t>
      </w:r>
      <w:r w:rsidR="00D87142">
        <w:t>o criterio di</w:t>
      </w:r>
      <w:r>
        <w:t xml:space="preserve"> applicazione del comma 831 dedicato al canone per i servizi di rete</w:t>
      </w:r>
      <w:r w:rsidR="00D87142">
        <w:t xml:space="preserve">, con specifico riferimento ai </w:t>
      </w:r>
      <w:r>
        <w:t>servizi di telecomunicazioni.</w:t>
      </w:r>
    </w:p>
    <w:p w14:paraId="1EDF1152" w14:textId="3ABF5059" w:rsidR="009148BD" w:rsidRDefault="009148BD" w:rsidP="00E30BD3">
      <w:pPr>
        <w:jc w:val="both"/>
      </w:pPr>
      <w:r>
        <w:t>Come noto il comma 831 riprende quella speciale tariffa già prevista con i precedenti prelievi per le occupazioni permanenti realizzate dalle aziende che erogano i servizi pubblici per mezzo di infrastrutture che occupano il suolo e il sottosuolo pubblico.</w:t>
      </w:r>
    </w:p>
    <w:p w14:paraId="6416B400" w14:textId="398AFB0B" w:rsidR="009148BD" w:rsidRDefault="009148BD" w:rsidP="00E30BD3">
      <w:pPr>
        <w:jc w:val="both"/>
      </w:pPr>
      <w:r>
        <w:t>La storia di questa entrata ci ha insegnato come l’utilizzo della tariffa forfettaria ad utenza attiva ha creato diversi problemi, in ordine alla interpretazione del calcolo, al sistema di autoliquidazione e a</w:t>
      </w:r>
      <w:r w:rsidR="00663F9B">
        <w:t>lle difficoltà dei</w:t>
      </w:r>
      <w:r>
        <w:t xml:space="preserve"> controll</w:t>
      </w:r>
      <w:r w:rsidR="00F10506">
        <w:t xml:space="preserve">i sulla congruità dei pagamenti </w:t>
      </w:r>
      <w:r>
        <w:t>da parte degli enti locali beneficiari del gettito</w:t>
      </w:r>
      <w:r w:rsidR="00F10506">
        <w:t>.</w:t>
      </w:r>
    </w:p>
    <w:p w14:paraId="776C2E69" w14:textId="029F6B76" w:rsidR="009148BD" w:rsidRDefault="009148BD" w:rsidP="00E30BD3">
      <w:pPr>
        <w:jc w:val="both"/>
      </w:pPr>
      <w:r>
        <w:t xml:space="preserve">Già in passato la </w:t>
      </w:r>
      <w:r w:rsidRPr="009148BD">
        <w:t>DIREZIONE FEDERALISMO FISCALE</w:t>
      </w:r>
      <w:r>
        <w:t xml:space="preserve"> del Dipartimento delle Finanze del MEF, con la circolare n, 1/DF del 20 gennaio 2009, aveva affrontato la problematica, dando precise indicazioni su come applicare la speciale entrata in riferimento ai diversi settori di servizi pubblici erogati. </w:t>
      </w:r>
    </w:p>
    <w:p w14:paraId="0AD18191" w14:textId="3677196D" w:rsidR="009148BD" w:rsidRDefault="00663F9B" w:rsidP="00E30BD3">
      <w:pPr>
        <w:jc w:val="both"/>
      </w:pPr>
      <w:r>
        <w:t>In</w:t>
      </w:r>
      <w:r w:rsidR="009148BD">
        <w:t xml:space="preserve"> questa circolare </w:t>
      </w:r>
      <w:r>
        <w:t>fece la sua prima apparizione</w:t>
      </w:r>
      <w:r w:rsidR="009148BD">
        <w:t xml:space="preserve"> </w:t>
      </w:r>
      <w:r w:rsidR="00330C73">
        <w:t xml:space="preserve">il </w:t>
      </w:r>
      <w:r>
        <w:t xml:space="preserve">concetto di </w:t>
      </w:r>
      <w:r w:rsidR="009148BD">
        <w:t xml:space="preserve">soggettività passiva in via mediata, </w:t>
      </w:r>
      <w:r w:rsidR="00330C73">
        <w:t xml:space="preserve">oggi divenuto Legge. Nella circolare </w:t>
      </w:r>
      <w:r w:rsidR="009148BD">
        <w:t xml:space="preserve">furono </w:t>
      </w:r>
      <w:r w:rsidR="00330C73">
        <w:t xml:space="preserve">anche </w:t>
      </w:r>
      <w:r w:rsidR="009148BD">
        <w:t>esplicitati i criteri di calcolo per quei settori dove era</w:t>
      </w:r>
      <w:r w:rsidR="001973CF">
        <w:t xml:space="preserve">, </w:t>
      </w:r>
      <w:r w:rsidR="009148BD">
        <w:t>ed è</w:t>
      </w:r>
      <w:r w:rsidR="001973CF">
        <w:t xml:space="preserve"> tuttora</w:t>
      </w:r>
      <w:r w:rsidR="0055431C">
        <w:t>,</w:t>
      </w:r>
      <w:r w:rsidR="001973CF">
        <w:t xml:space="preserve"> </w:t>
      </w:r>
      <w:r w:rsidR="009148BD">
        <w:t xml:space="preserve">prevista la divisione </w:t>
      </w:r>
      <w:r w:rsidR="001973CF">
        <w:t>tra chi distribuisce e chi vende all’utente finale</w:t>
      </w:r>
      <w:r w:rsidR="009148BD">
        <w:t xml:space="preserve"> </w:t>
      </w:r>
      <w:r w:rsidR="001973CF">
        <w:t>il servizio.</w:t>
      </w:r>
      <w:r w:rsidR="00330C73">
        <w:t xml:space="preserve"> Si tratta</w:t>
      </w:r>
      <w:r>
        <w:t xml:space="preserve"> nello specifico</w:t>
      </w:r>
      <w:r w:rsidR="00330C73">
        <w:t xml:space="preserve"> de</w:t>
      </w:r>
      <w:r>
        <w:t>i</w:t>
      </w:r>
      <w:r w:rsidR="00330C73">
        <w:t xml:space="preserve"> settor</w:t>
      </w:r>
      <w:r>
        <w:t>i</w:t>
      </w:r>
      <w:r w:rsidR="00330C73">
        <w:t xml:space="preserve"> del Gas e dell’Energia elettrica.</w:t>
      </w:r>
    </w:p>
    <w:p w14:paraId="1AA71869" w14:textId="4D87B018" w:rsidR="001973CF" w:rsidRDefault="001973CF" w:rsidP="00E30BD3">
      <w:pPr>
        <w:jc w:val="both"/>
      </w:pPr>
      <w:r>
        <w:t>La circolare è stata inequivocabilmente fonte di ispirazione del Legislatore nell’a</w:t>
      </w:r>
      <w:r w:rsidR="00330C73">
        <w:t>n</w:t>
      </w:r>
      <w:r>
        <w:t xml:space="preserve">dare a disciplinare l’attuale versione del comma 831, tanto che oggi le diverse interpretazioni che alcune Corporate portano avanti per il loro </w:t>
      </w:r>
      <w:r w:rsidR="00330C73">
        <w:t xml:space="preserve">esclusivo </w:t>
      </w:r>
      <w:r>
        <w:t>vantaggio economico, appaiono del tutto pretestuose e lontane dalla volontà del Legislatore nel prevedere il pagamento a favore di Comuni e Province.</w:t>
      </w:r>
    </w:p>
    <w:p w14:paraId="14C2893F" w14:textId="3F373078" w:rsidR="001973CF" w:rsidRDefault="001973CF" w:rsidP="00E30BD3">
      <w:pPr>
        <w:jc w:val="both"/>
      </w:pPr>
      <w:r>
        <w:t xml:space="preserve">È necessario </w:t>
      </w:r>
      <w:r w:rsidR="00330C73">
        <w:t xml:space="preserve">quindi </w:t>
      </w:r>
      <w:r>
        <w:t xml:space="preserve">un pronunciamento urgente </w:t>
      </w:r>
      <w:r w:rsidR="002A2B07">
        <w:t xml:space="preserve">, magari </w:t>
      </w:r>
      <w:r>
        <w:t>da parte della</w:t>
      </w:r>
      <w:r w:rsidRPr="001973CF">
        <w:t xml:space="preserve"> Direzione Legislazione Tributaria e Federalismo Fiscale</w:t>
      </w:r>
      <w:r>
        <w:t xml:space="preserve"> </w:t>
      </w:r>
      <w:r w:rsidR="002A2B07">
        <w:t xml:space="preserve">del Dipartimento delle Finanze </w:t>
      </w:r>
      <w:r>
        <w:t xml:space="preserve">che chiarisca come deve essere applicata la norma in relazione all’occupazione realizzata dall’infrastruttura tecnologica utilizzata per l’erogazione dei servizi di telecomunicazione, con specifico riferimento alla rete tradizionale </w:t>
      </w:r>
      <w:r w:rsidR="0055431C">
        <w:t>ancora con i</w:t>
      </w:r>
      <w:r>
        <w:t xml:space="preserve"> fili di rame per le comunicazioni voce e a quella moderna in fibra ottica dedicata alla trasmissione dati.</w:t>
      </w:r>
    </w:p>
    <w:p w14:paraId="6E6EDA4D" w14:textId="46356579" w:rsidR="001973CF" w:rsidRDefault="001973CF" w:rsidP="00E30BD3">
      <w:pPr>
        <w:jc w:val="both"/>
      </w:pPr>
      <w:r>
        <w:t>L’attuale assetto del mercato telefonico, con la società ex monopolista che ha venduto la rete a Fibercop e che oggi si dichiara mero utilizzatore dell</w:t>
      </w:r>
      <w:r w:rsidR="0055431C">
        <w:t>’infrastruttura</w:t>
      </w:r>
      <w:r>
        <w:t xml:space="preserve"> versando solo la quota forfetaria, non è più sostenibile. </w:t>
      </w:r>
    </w:p>
    <w:p w14:paraId="5067EF31" w14:textId="1ABE83F7" w:rsidR="001973CF" w:rsidRDefault="001973CF" w:rsidP="00E30BD3">
      <w:pPr>
        <w:jc w:val="both"/>
      </w:pPr>
      <w:r>
        <w:t xml:space="preserve">Si sta assistendo ad un fenomeno di elusione a danno degli enti locali del gettito dovuto </w:t>
      </w:r>
      <w:r w:rsidR="002A2B07">
        <w:t xml:space="preserve">che dovrebbe essere </w:t>
      </w:r>
      <w:r>
        <w:t xml:space="preserve">calcolato secondo le tariffe imposte dal Legislatore </w:t>
      </w:r>
      <w:r w:rsidR="002A2B07">
        <w:t xml:space="preserve">moltiplicate per </w:t>
      </w:r>
      <w:r>
        <w:t>tutte le utenze attive dei rispettivi territori di competenza. Non è accettabile quanto sta avvenendo nel settore della telefonia, unico settore</w:t>
      </w:r>
      <w:r w:rsidR="002A2B07">
        <w:t xml:space="preserve">, </w:t>
      </w:r>
      <w:r>
        <w:t>al 30 aprile 2025</w:t>
      </w:r>
      <w:r w:rsidR="002A2B07">
        <w:t>, dove</w:t>
      </w:r>
      <w:r>
        <w:t xml:space="preserve"> nessuna società</w:t>
      </w:r>
      <w:r w:rsidR="0055431C">
        <w:t>, erogatrice di servizi voce e dati,</w:t>
      </w:r>
      <w:r>
        <w:t xml:space="preserve"> ha versato in base al numero d</w:t>
      </w:r>
      <w:r w:rsidR="0055431C">
        <w:t>elle proprie</w:t>
      </w:r>
      <w:r>
        <w:t xml:space="preserve"> utenze</w:t>
      </w:r>
      <w:r w:rsidR="00805703">
        <w:t>.</w:t>
      </w:r>
    </w:p>
    <w:p w14:paraId="7F7D8825" w14:textId="7D04C776" w:rsidR="00330C73" w:rsidRPr="00330C73" w:rsidRDefault="00330C73" w:rsidP="00E30BD3">
      <w:pPr>
        <w:jc w:val="both"/>
      </w:pPr>
      <w:r w:rsidRPr="00330C73">
        <w:t xml:space="preserve">TIM </w:t>
      </w:r>
      <w:r>
        <w:t>infatti</w:t>
      </w:r>
      <w:r w:rsidRPr="00330C73">
        <w:t xml:space="preserve"> </w:t>
      </w:r>
      <w:r w:rsidR="002A2B07">
        <w:t xml:space="preserve">ha </w:t>
      </w:r>
      <w:r w:rsidRPr="00330C73">
        <w:t>abbandona</w:t>
      </w:r>
      <w:r w:rsidR="002A2B07">
        <w:t>to</w:t>
      </w:r>
      <w:r w:rsidRPr="00330C73">
        <w:t xml:space="preserve"> definitivamente il calcolo del canone basato sulle utenze attive di rete fissa e</w:t>
      </w:r>
      <w:r w:rsidR="002A2B07">
        <w:t xml:space="preserve">d è andata </w:t>
      </w:r>
      <w:r w:rsidRPr="00330C73">
        <w:t>a auto-posizionarsi tra quelle società competitor sul mercato che non occupano direttamente suolo pubblico, ritenendosi peraltro estranea alla cosiddetta soggettività passiva in via mediata.</w:t>
      </w:r>
    </w:p>
    <w:p w14:paraId="34ED2504" w14:textId="28C9FF61" w:rsidR="00330C73" w:rsidRDefault="00330C73" w:rsidP="00E30BD3">
      <w:pPr>
        <w:jc w:val="both"/>
      </w:pPr>
      <w:r w:rsidRPr="00330C73">
        <w:lastRenderedPageBreak/>
        <w:t xml:space="preserve">Decide in ogni caso di versare la misura minima di canone come conseguenza dell’unico caso residuo di possesso materiale di occupazione mediata del suolo pubblico derivante dal cosiddetto </w:t>
      </w:r>
      <w:r w:rsidRPr="00330C73">
        <w:rPr>
          <w:i/>
          <w:iCs/>
        </w:rPr>
        <w:t>indefeasible right of use</w:t>
      </w:r>
      <w:r w:rsidRPr="00330C73">
        <w:t xml:space="preserve"> o IRU, ovvero il diritto pluriennale d’uso dell’infrastruttura di rete. </w:t>
      </w:r>
    </w:p>
    <w:p w14:paraId="63FAEE6A" w14:textId="710AEC15" w:rsidR="00805703" w:rsidRDefault="00805703" w:rsidP="00E30BD3">
      <w:pPr>
        <w:jc w:val="both"/>
      </w:pPr>
      <w:r>
        <w:t>Dica</w:t>
      </w:r>
      <w:r w:rsidR="0055431C">
        <w:t>no</w:t>
      </w:r>
      <w:r w:rsidR="002A2B07">
        <w:t xml:space="preserve"> a questo punto</w:t>
      </w:r>
      <w:r w:rsidR="0055431C">
        <w:t xml:space="preserve"> gli uffici del Ministero</w:t>
      </w:r>
      <w:r w:rsidR="002A2B07">
        <w:t xml:space="preserve"> delle Finanze</w:t>
      </w:r>
      <w:r>
        <w:t xml:space="preserve"> quale criterio deve essere adottato per il giusto pagamento del canone. Sul tavolo ci sono due soluzioni:</w:t>
      </w:r>
    </w:p>
    <w:p w14:paraId="1983C25A" w14:textId="1FC43B9F" w:rsidR="00805703" w:rsidRPr="00805703" w:rsidRDefault="0055431C" w:rsidP="00E30BD3">
      <w:pPr>
        <w:numPr>
          <w:ilvl w:val="0"/>
          <w:numId w:val="1"/>
        </w:numPr>
        <w:jc w:val="both"/>
      </w:pPr>
      <w:r>
        <w:t xml:space="preserve">Applicare il </w:t>
      </w:r>
      <w:r w:rsidR="00805703" w:rsidRPr="00805703">
        <w:t xml:space="preserve"> sistema </w:t>
      </w:r>
      <w:r w:rsidR="00CC2263">
        <w:t xml:space="preserve">di calcolo basato sulla </w:t>
      </w:r>
      <w:r w:rsidR="00805703" w:rsidRPr="00805703">
        <w:t xml:space="preserve">soggettività passiva in via mediata e quindi ogni compagnia presente </w:t>
      </w:r>
      <w:r w:rsidR="00805703">
        <w:t xml:space="preserve">sul mercato </w:t>
      </w:r>
      <w:r w:rsidR="00805703" w:rsidRPr="00805703">
        <w:t>dovrà vers</w:t>
      </w:r>
      <w:r w:rsidR="00CC2263">
        <w:t>are</w:t>
      </w:r>
      <w:r w:rsidR="00805703" w:rsidRPr="00805703">
        <w:t xml:space="preserve"> in base alle proprie utenze attive, indipendentemente che non sia la proprietaria della rete</w:t>
      </w:r>
      <w:r w:rsidR="00805703">
        <w:t xml:space="preserve"> e nonostante </w:t>
      </w:r>
      <w:r w:rsidR="00805703" w:rsidRPr="00805703">
        <w:t>non occup</w:t>
      </w:r>
      <w:r w:rsidR="00805703">
        <w:t>i</w:t>
      </w:r>
      <w:r w:rsidR="00805703" w:rsidRPr="00805703">
        <w:t xml:space="preserve"> fisicamente il suolo pubblico</w:t>
      </w:r>
      <w:r w:rsidR="00BD15B2">
        <w:t xml:space="preserve"> per i suoi collegamenti di fatto virtuali grazie alle moderne tecnologie</w:t>
      </w:r>
      <w:r w:rsidR="00805703" w:rsidRPr="00805703">
        <w:t>;</w:t>
      </w:r>
    </w:p>
    <w:p w14:paraId="6EC3B316" w14:textId="25948D64" w:rsidR="00805703" w:rsidRDefault="00391C28" w:rsidP="00E30BD3">
      <w:pPr>
        <w:numPr>
          <w:ilvl w:val="0"/>
          <w:numId w:val="1"/>
        </w:numPr>
        <w:jc w:val="both"/>
      </w:pPr>
      <w:r>
        <w:t>A</w:t>
      </w:r>
      <w:r w:rsidR="00805703" w:rsidRPr="00805703">
        <w:t>pplic</w:t>
      </w:r>
      <w:r w:rsidR="00BD15B2">
        <w:t>are</w:t>
      </w:r>
      <w:r w:rsidR="00805703" w:rsidRPr="00805703">
        <w:t xml:space="preserve"> il criterio previsto nella norma di interpretazione autentica che vuole come unico soggetto passivo il proprietario della infrastruttura che verserà sulla base della somma delle utenze attive delle diverse compagnie presenti sul mercato. In quest</w:t>
      </w:r>
      <w:r w:rsidR="00BD15B2">
        <w:t>o</w:t>
      </w:r>
      <w:r w:rsidR="00805703" w:rsidRPr="00805703">
        <w:t xml:space="preserve"> caso si dovrebbe quindi ritenere TIM responsabile del pagamento dal 2021 al 2024 per tutte le utenze attive (e non solo per quelle che </w:t>
      </w:r>
      <w:r w:rsidR="00CC2263">
        <w:t xml:space="preserve">la stessa </w:t>
      </w:r>
      <w:r w:rsidR="00805703" w:rsidRPr="00805703">
        <w:t>TIM ha sempre dichiarato e versato) mentre dal 2025 si dovrebbe ritenere Fibercop quale nuovo soggetto passivo a</w:t>
      </w:r>
      <w:r w:rsidR="00CC2263">
        <w:t xml:space="preserve"> </w:t>
      </w:r>
      <w:r w:rsidR="00805703" w:rsidRPr="00805703">
        <w:t xml:space="preserve">cui </w:t>
      </w:r>
      <w:r w:rsidR="00CC2263">
        <w:t>ri</w:t>
      </w:r>
      <w:r w:rsidR="00805703" w:rsidRPr="00805703">
        <w:t>chiedere il versamento per il 100% delle utenze attive.</w:t>
      </w:r>
    </w:p>
    <w:p w14:paraId="30B8CBF7" w14:textId="65920FD2" w:rsidR="00FE6040" w:rsidRDefault="00FE6040" w:rsidP="00E30BD3">
      <w:pPr>
        <w:jc w:val="both"/>
      </w:pPr>
      <w:r>
        <w:t>Impossibile ipotizzare scenari diversi, o si applica il principio della soggettività passiva in via mediata o il criterio fissato nella norma di interpretazione autentica, nessuna altra interpretazione può essere accettata</w:t>
      </w:r>
      <w:r w:rsidR="00CC2263">
        <w:t xml:space="preserve"> </w:t>
      </w:r>
      <w:r>
        <w:t>a danno degli Enti Locali.</w:t>
      </w:r>
    </w:p>
    <w:p w14:paraId="04E05D15" w14:textId="5736F6FC" w:rsidR="00524DC6" w:rsidRDefault="00FE6040" w:rsidP="00E30BD3">
      <w:pPr>
        <w:jc w:val="both"/>
      </w:pPr>
      <w:r>
        <w:t xml:space="preserve">Dica </w:t>
      </w:r>
      <w:r w:rsidR="00E2672F">
        <w:t xml:space="preserve">la </w:t>
      </w:r>
      <w:r w:rsidR="00E2672F" w:rsidRPr="001973CF">
        <w:t>Direzione Legislazione Tributaria e Federalismo Fiscale</w:t>
      </w:r>
      <w:r w:rsidR="00E2672F">
        <w:t xml:space="preserve"> </w:t>
      </w:r>
      <w:r>
        <w:t xml:space="preserve">se quanto contenuto nella circolare del 2009 può </w:t>
      </w:r>
      <w:r w:rsidR="00D01C3F">
        <w:t xml:space="preserve">ancora </w:t>
      </w:r>
      <w:r>
        <w:t xml:space="preserve">essere ritenuto valido nell’attuale disciplina del Canone Unico, con specifico riguardo a quanto scritto </w:t>
      </w:r>
      <w:r w:rsidR="00524DC6">
        <w:t xml:space="preserve">a pagina </w:t>
      </w:r>
      <w:r w:rsidR="00CC2263">
        <w:t>6 punto 1</w:t>
      </w:r>
      <w:r w:rsidR="00524DC6">
        <w:t xml:space="preserve"> lettera c</w:t>
      </w:r>
      <w:r w:rsidR="00E30BD3">
        <w:t>:</w:t>
      </w:r>
    </w:p>
    <w:p w14:paraId="02458DFF" w14:textId="0DD26CB8" w:rsidR="00E30BD3" w:rsidRDefault="00E30BD3" w:rsidP="00E30BD3">
      <w:pPr>
        <w:jc w:val="both"/>
        <w:rPr>
          <w:i/>
          <w:iCs/>
        </w:rPr>
      </w:pPr>
      <w:r w:rsidRPr="00E30BD3">
        <w:rPr>
          <w:i/>
          <w:iCs/>
        </w:rPr>
        <w:t>“Relativamente ai soggetti tenuti al pagamento della TOSAP o del COSAP occorre precisare</w:t>
      </w:r>
      <w:r w:rsidRPr="00E30BD3">
        <w:rPr>
          <w:i/>
          <w:iCs/>
        </w:rPr>
        <w:br/>
        <w:t>che l'evoluzione tecnologica raggiunta nel settore dei servizi di pubblica utilità ha comportato che i cavi e le condutture che vengono installati sul suolo e nel sottosuolo siano suscettibili di essere contemporaneamente utilizzati da diverse società di erogazione di pubblici servizi, che non sono, però, titolari delle suddette infrastrutture con le quali si realizzano le occupazioni stesse, come ad esempio, avviene nel campo delle telecomunicazioni.</w:t>
      </w:r>
      <w:r>
        <w:rPr>
          <w:i/>
          <w:iCs/>
        </w:rPr>
        <w:t xml:space="preserve"> </w:t>
      </w:r>
      <w:r w:rsidRPr="00E30BD3">
        <w:rPr>
          <w:i/>
          <w:iCs/>
        </w:rPr>
        <w:t>Questi ultimi soggetti amministrano, comunque, il rapporto di gestione delle utenze a cui fa</w:t>
      </w:r>
      <w:r>
        <w:rPr>
          <w:i/>
          <w:iCs/>
        </w:rPr>
        <w:t xml:space="preserve"> </w:t>
      </w:r>
      <w:r w:rsidRPr="00E30BD3">
        <w:rPr>
          <w:i/>
          <w:iCs/>
        </w:rPr>
        <w:t>riferimento l'art. 63, comma 2, lettera f) del D.Igs. n. 446 del 1997 per il calcolo della TOSAP o del</w:t>
      </w:r>
      <w:r w:rsidRPr="00E30BD3">
        <w:rPr>
          <w:i/>
          <w:iCs/>
        </w:rPr>
        <w:br/>
        <w:t>COSAP.</w:t>
      </w:r>
    </w:p>
    <w:p w14:paraId="2F4497E2" w14:textId="7177214D" w:rsidR="00E30BD3" w:rsidRDefault="00E30BD3" w:rsidP="00E30BD3">
      <w:pPr>
        <w:jc w:val="both"/>
        <w:rPr>
          <w:i/>
          <w:iCs/>
        </w:rPr>
      </w:pPr>
      <w:r w:rsidRPr="00E30BD3">
        <w:rPr>
          <w:i/>
          <w:iCs/>
        </w:rPr>
        <w:t>Una lettura dinamica delle norme in questione, che si rende necessaria al fine di non vederne</w:t>
      </w:r>
      <w:r w:rsidRPr="00E30BD3">
        <w:rPr>
          <w:i/>
          <w:iCs/>
        </w:rPr>
        <w:br/>
        <w:t>vanificata la portata, induce a ritenere che ciascuna società che fruisce, a qualunque titolo, di dette infrastrutture deve corrispondere direttamente al competente ente locale gli importi dovuti a titolo di TOSAP o di COSAP calcolati sulla base del numero delle proprie utenze.</w:t>
      </w:r>
    </w:p>
    <w:p w14:paraId="6A76800F" w14:textId="75837F9B" w:rsidR="00E30BD3" w:rsidRPr="00E30BD3" w:rsidRDefault="00E30BD3" w:rsidP="00E30BD3">
      <w:pPr>
        <w:jc w:val="both"/>
        <w:rPr>
          <w:i/>
          <w:iCs/>
        </w:rPr>
      </w:pPr>
      <w:r w:rsidRPr="00E30BD3">
        <w:rPr>
          <w:i/>
          <w:iCs/>
        </w:rPr>
        <w:t>Tale procedura, oltre ad essere preferibile sotto l'aspetto della semplificazione perseguita dal</w:t>
      </w:r>
      <w:r w:rsidRPr="00E30BD3">
        <w:rPr>
          <w:i/>
          <w:iCs/>
        </w:rPr>
        <w:br/>
        <w:t>legislatore, si profila aderente allo spirito della norma, poiché è innegabile che non solo le società che materialmente effettuano l'occupazione del suolo pubblico ma anche quei soggetti che contestualmente utilizzano dette strutture svolgono un servizio di pubblica utilità. Questi ultimi, inoltre, effettuano anch'essi un'occupazione del suolo pubblico, seppure in via mediata, attraverso cioè l'utilizzazione dei cavi e delle</w:t>
      </w:r>
      <w:r w:rsidRPr="00E30BD3">
        <w:rPr>
          <w:i/>
          <w:iCs/>
        </w:rPr>
        <w:br/>
        <w:t>condutture di altri soggetti.”</w:t>
      </w:r>
    </w:p>
    <w:p w14:paraId="0DC1DCCE" w14:textId="2BAE1967" w:rsidR="00805703" w:rsidRDefault="00CC2263" w:rsidP="00E30BD3">
      <w:pPr>
        <w:jc w:val="both"/>
      </w:pPr>
      <w:r>
        <w:t xml:space="preserve">È importante ottenere una presa di posizione </w:t>
      </w:r>
      <w:r w:rsidR="00391C28">
        <w:t xml:space="preserve">chiara </w:t>
      </w:r>
      <w:r>
        <w:t>sul tema per non lasciare gli enti locali a dover da soli affrontare lunghi e onerosi contenziosi contro i colossi del mercato della telefonia.</w:t>
      </w:r>
    </w:p>
    <w:p w14:paraId="47AB927B" w14:textId="26E10CEF" w:rsidR="00CC2263" w:rsidRDefault="00CC2263" w:rsidP="00E30BD3">
      <w:pPr>
        <w:jc w:val="both"/>
        <w:rPr>
          <w:rFonts w:ascii="Times New Roman" w:hAnsi="Times New Roman" w:cs="Times New Roman"/>
          <w:i/>
          <w:iCs/>
        </w:rPr>
      </w:pPr>
      <w:r>
        <w:t>Oggi</w:t>
      </w:r>
      <w:r w:rsidR="00A16F83">
        <w:t xml:space="preserve"> sulla problematica </w:t>
      </w:r>
      <w:r>
        <w:t xml:space="preserve">si sta formando un certo orientamento giurisprudenziale volto a confermare la tesi che vuole nel settore della telefonia, e solo in quello, l’applicazione del criterio della soggettività passiva in via </w:t>
      </w:r>
      <w:r>
        <w:lastRenderedPageBreak/>
        <w:t>mediata</w:t>
      </w:r>
      <w:r w:rsidR="00391C28">
        <w:t xml:space="preserve">, tuttavia la strada è ancora lunga e passerà molto tempo prima di avere pronunce definitive. </w:t>
      </w:r>
      <w:r>
        <w:t xml:space="preserve">Tra le tante pronunce emesse in questi mesi ci piace richiamare quella del </w:t>
      </w:r>
      <w:r w:rsidR="00A16F83">
        <w:t>T</w:t>
      </w:r>
      <w:r>
        <w:t xml:space="preserve">ribunale di Treviso con la sentenza n. 240 del 20/02/2025 nella quale si legge: </w:t>
      </w:r>
      <w:r w:rsidRPr="00D01C3F">
        <w:t>“</w:t>
      </w:r>
      <w:r w:rsidRPr="00D01C3F">
        <w:rPr>
          <w:rFonts w:ascii="Times New Roman" w:hAnsi="Times New Roman" w:cs="Times New Roman"/>
          <w:i/>
          <w:iCs/>
        </w:rPr>
        <w:t>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voluntas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W., attraverso le varie forme di tecnologia descritte in atti, si avvale della rete infrastrutturale di Tim, si ritiene che essa rientri fra i soggetti obbligati contemplati dalla norma.”</w:t>
      </w:r>
    </w:p>
    <w:p w14:paraId="1237E796" w14:textId="6ED206B3" w:rsidR="00D01C3F" w:rsidRPr="00D01C3F" w:rsidRDefault="00D01C3F" w:rsidP="00E30BD3">
      <w:pPr>
        <w:jc w:val="both"/>
        <w:rPr>
          <w:rFonts w:ascii="Times New Roman" w:hAnsi="Times New Roman" w:cs="Times New Roman"/>
        </w:rPr>
      </w:pPr>
      <w:r>
        <w:rPr>
          <w:rFonts w:ascii="Times New Roman" w:hAnsi="Times New Roman" w:cs="Times New Roman"/>
        </w:rPr>
        <w:t>Non resta</w:t>
      </w:r>
      <w:r w:rsidR="00391C28">
        <w:rPr>
          <w:rFonts w:ascii="Times New Roman" w:hAnsi="Times New Roman" w:cs="Times New Roman"/>
        </w:rPr>
        <w:t xml:space="preserve"> quindi </w:t>
      </w:r>
      <w:r>
        <w:rPr>
          <w:rFonts w:ascii="Times New Roman" w:hAnsi="Times New Roman" w:cs="Times New Roman"/>
        </w:rPr>
        <w:t xml:space="preserve">che </w:t>
      </w:r>
      <w:r w:rsidR="00A16F83">
        <w:rPr>
          <w:rFonts w:ascii="Times New Roman" w:hAnsi="Times New Roman" w:cs="Times New Roman"/>
        </w:rPr>
        <w:t>sperare in</w:t>
      </w:r>
      <w:r>
        <w:rPr>
          <w:rFonts w:ascii="Times New Roman" w:hAnsi="Times New Roman" w:cs="Times New Roman"/>
        </w:rPr>
        <w:t xml:space="preserve"> un</w:t>
      </w:r>
      <w:r w:rsidR="00391C28">
        <w:rPr>
          <w:rFonts w:ascii="Times New Roman" w:hAnsi="Times New Roman" w:cs="Times New Roman"/>
        </w:rPr>
        <w:t xml:space="preserve"> pronto</w:t>
      </w:r>
      <w:r>
        <w:rPr>
          <w:rFonts w:ascii="Times New Roman" w:hAnsi="Times New Roman" w:cs="Times New Roman"/>
        </w:rPr>
        <w:t xml:space="preserve"> intervento che porti le aziende del settore a tenere un comportamento coerente e che soprattutto non vada a danno degli enti locali </w:t>
      </w:r>
      <w:r w:rsidR="00A16F83">
        <w:rPr>
          <w:rFonts w:ascii="Times New Roman" w:hAnsi="Times New Roman" w:cs="Times New Roman"/>
        </w:rPr>
        <w:t xml:space="preserve">a cui deve essere garantito </w:t>
      </w:r>
      <w:r>
        <w:rPr>
          <w:rFonts w:ascii="Times New Roman" w:hAnsi="Times New Roman" w:cs="Times New Roman"/>
        </w:rPr>
        <w:t xml:space="preserve">il </w:t>
      </w:r>
      <w:r w:rsidR="00A16F83">
        <w:rPr>
          <w:rFonts w:ascii="Times New Roman" w:hAnsi="Times New Roman" w:cs="Times New Roman"/>
        </w:rPr>
        <w:t xml:space="preserve">sacrosanto </w:t>
      </w:r>
      <w:r>
        <w:rPr>
          <w:rFonts w:ascii="Times New Roman" w:hAnsi="Times New Roman" w:cs="Times New Roman"/>
        </w:rPr>
        <w:t>diritto di riscuotere il giusto canone a fronte delle occupazioni realizzate dalle aziende</w:t>
      </w:r>
      <w:r w:rsidR="00A16F83">
        <w:rPr>
          <w:rFonts w:ascii="Times New Roman" w:hAnsi="Times New Roman" w:cs="Times New Roman"/>
        </w:rPr>
        <w:t>, pubbliche o private che siano,</w:t>
      </w:r>
      <w:r>
        <w:rPr>
          <w:rFonts w:ascii="Times New Roman" w:hAnsi="Times New Roman" w:cs="Times New Roman"/>
        </w:rPr>
        <w:t xml:space="preserve"> </w:t>
      </w:r>
      <w:r w:rsidR="00A16F83">
        <w:rPr>
          <w:rFonts w:ascii="Times New Roman" w:hAnsi="Times New Roman" w:cs="Times New Roman"/>
        </w:rPr>
        <w:t xml:space="preserve">impegnate ad erogare </w:t>
      </w:r>
      <w:r>
        <w:rPr>
          <w:rFonts w:ascii="Times New Roman" w:hAnsi="Times New Roman" w:cs="Times New Roman"/>
        </w:rPr>
        <w:t>i servizi</w:t>
      </w:r>
      <w:r w:rsidR="00A16F83">
        <w:rPr>
          <w:rFonts w:ascii="Times New Roman" w:hAnsi="Times New Roman" w:cs="Times New Roman"/>
        </w:rPr>
        <w:t xml:space="preserve"> di luce, gas, ciclo idrico, telefonia e altri presenti </w:t>
      </w:r>
      <w:r w:rsidR="00A16F83">
        <w:rPr>
          <w:rFonts w:ascii="Times New Roman" w:hAnsi="Times New Roman" w:cs="Times New Roman"/>
        </w:rPr>
        <w:t>ne</w:t>
      </w:r>
      <w:r w:rsidR="00A16F83">
        <w:rPr>
          <w:rFonts w:ascii="Times New Roman" w:hAnsi="Times New Roman" w:cs="Times New Roman"/>
        </w:rPr>
        <w:t xml:space="preserve">i diversi </w:t>
      </w:r>
      <w:r w:rsidR="00A16F83">
        <w:rPr>
          <w:rFonts w:ascii="Times New Roman" w:hAnsi="Times New Roman" w:cs="Times New Roman"/>
        </w:rPr>
        <w:t>territori</w:t>
      </w:r>
      <w:r>
        <w:rPr>
          <w:rFonts w:ascii="Times New Roman" w:hAnsi="Times New Roman" w:cs="Times New Roman"/>
        </w:rPr>
        <w:t>.</w:t>
      </w:r>
    </w:p>
    <w:p w14:paraId="3D085CDF" w14:textId="1C1F5838" w:rsidR="00CC2263" w:rsidRPr="00D01C3F" w:rsidRDefault="00CC2263" w:rsidP="00E30BD3">
      <w:pPr>
        <w:jc w:val="both"/>
      </w:pPr>
    </w:p>
    <w:p w14:paraId="2AA6348A" w14:textId="77777777" w:rsidR="001973CF" w:rsidRPr="00D01C3F" w:rsidRDefault="001973CF" w:rsidP="00E30BD3">
      <w:pPr>
        <w:jc w:val="both"/>
      </w:pPr>
    </w:p>
    <w:sectPr w:rsidR="001973CF" w:rsidRPr="00D01C3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E531C"/>
    <w:multiLevelType w:val="hybridMultilevel"/>
    <w:tmpl w:val="9B605F7E"/>
    <w:lvl w:ilvl="0" w:tplc="04100011">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16cid:durableId="1614899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16"/>
    <w:rsid w:val="00000408"/>
    <w:rsid w:val="001973CF"/>
    <w:rsid w:val="002A2B07"/>
    <w:rsid w:val="00330C73"/>
    <w:rsid w:val="00366798"/>
    <w:rsid w:val="00391C28"/>
    <w:rsid w:val="00524DC6"/>
    <w:rsid w:val="0055431C"/>
    <w:rsid w:val="005B124B"/>
    <w:rsid w:val="00663F9B"/>
    <w:rsid w:val="006672EA"/>
    <w:rsid w:val="00805703"/>
    <w:rsid w:val="009148BD"/>
    <w:rsid w:val="009F4C16"/>
    <w:rsid w:val="00A16F83"/>
    <w:rsid w:val="00BD15B2"/>
    <w:rsid w:val="00CC2263"/>
    <w:rsid w:val="00D01C3F"/>
    <w:rsid w:val="00D87142"/>
    <w:rsid w:val="00DA44A3"/>
    <w:rsid w:val="00E2672F"/>
    <w:rsid w:val="00E30BD3"/>
    <w:rsid w:val="00F10506"/>
    <w:rsid w:val="00F37245"/>
    <w:rsid w:val="00FE604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7FAF"/>
  <w15:chartTrackingRefBased/>
  <w15:docId w15:val="{0C876F93-7B6F-4A0B-A13B-DD35388F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F4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F4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F4C16"/>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F4C16"/>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F4C16"/>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F4C1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F4C1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F4C1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F4C1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F4C16"/>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F4C1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F4C16"/>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F4C16"/>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F4C16"/>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F4C1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F4C1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F4C1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F4C16"/>
    <w:rPr>
      <w:rFonts w:eastAsiaTheme="majorEastAsia" w:cstheme="majorBidi"/>
      <w:color w:val="272727" w:themeColor="text1" w:themeTint="D8"/>
    </w:rPr>
  </w:style>
  <w:style w:type="paragraph" w:styleId="Titolo">
    <w:name w:val="Title"/>
    <w:basedOn w:val="Normale"/>
    <w:next w:val="Normale"/>
    <w:link w:val="TitoloCarattere"/>
    <w:uiPriority w:val="10"/>
    <w:qFormat/>
    <w:rsid w:val="009F4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F4C1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F4C1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F4C1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F4C1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F4C16"/>
    <w:rPr>
      <w:i/>
      <w:iCs/>
      <w:color w:val="404040" w:themeColor="text1" w:themeTint="BF"/>
    </w:rPr>
  </w:style>
  <w:style w:type="paragraph" w:styleId="Paragrafoelenco">
    <w:name w:val="List Paragraph"/>
    <w:basedOn w:val="Normale"/>
    <w:uiPriority w:val="34"/>
    <w:qFormat/>
    <w:rsid w:val="009F4C16"/>
    <w:pPr>
      <w:ind w:left="720"/>
      <w:contextualSpacing/>
    </w:pPr>
  </w:style>
  <w:style w:type="character" w:styleId="Enfasiintensa">
    <w:name w:val="Intense Emphasis"/>
    <w:basedOn w:val="Carpredefinitoparagrafo"/>
    <w:uiPriority w:val="21"/>
    <w:qFormat/>
    <w:rsid w:val="009F4C16"/>
    <w:rPr>
      <w:i/>
      <w:iCs/>
      <w:color w:val="2F5496" w:themeColor="accent1" w:themeShade="BF"/>
    </w:rPr>
  </w:style>
  <w:style w:type="paragraph" w:styleId="Citazioneintensa">
    <w:name w:val="Intense Quote"/>
    <w:basedOn w:val="Normale"/>
    <w:next w:val="Normale"/>
    <w:link w:val="CitazioneintensaCarattere"/>
    <w:uiPriority w:val="30"/>
    <w:qFormat/>
    <w:rsid w:val="009F4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F4C16"/>
    <w:rPr>
      <w:i/>
      <w:iCs/>
      <w:color w:val="2F5496" w:themeColor="accent1" w:themeShade="BF"/>
    </w:rPr>
  </w:style>
  <w:style w:type="character" w:styleId="Riferimentointenso">
    <w:name w:val="Intense Reference"/>
    <w:basedOn w:val="Carpredefinitoparagrafo"/>
    <w:uiPriority w:val="32"/>
    <w:qFormat/>
    <w:rsid w:val="009F4C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6631">
      <w:bodyDiv w:val="1"/>
      <w:marLeft w:val="0"/>
      <w:marRight w:val="0"/>
      <w:marTop w:val="0"/>
      <w:marBottom w:val="0"/>
      <w:divBdr>
        <w:top w:val="none" w:sz="0" w:space="0" w:color="auto"/>
        <w:left w:val="none" w:sz="0" w:space="0" w:color="auto"/>
        <w:bottom w:val="none" w:sz="0" w:space="0" w:color="auto"/>
        <w:right w:val="none" w:sz="0" w:space="0" w:color="auto"/>
      </w:divBdr>
    </w:div>
    <w:div w:id="1152452583">
      <w:bodyDiv w:val="1"/>
      <w:marLeft w:val="0"/>
      <w:marRight w:val="0"/>
      <w:marTop w:val="0"/>
      <w:marBottom w:val="0"/>
      <w:divBdr>
        <w:top w:val="none" w:sz="0" w:space="0" w:color="auto"/>
        <w:left w:val="none" w:sz="0" w:space="0" w:color="auto"/>
        <w:bottom w:val="none" w:sz="0" w:space="0" w:color="auto"/>
        <w:right w:val="none" w:sz="0" w:space="0" w:color="auto"/>
      </w:divBdr>
    </w:div>
    <w:div w:id="1602687997">
      <w:bodyDiv w:val="1"/>
      <w:marLeft w:val="0"/>
      <w:marRight w:val="0"/>
      <w:marTop w:val="0"/>
      <w:marBottom w:val="0"/>
      <w:divBdr>
        <w:top w:val="none" w:sz="0" w:space="0" w:color="auto"/>
        <w:left w:val="none" w:sz="0" w:space="0" w:color="auto"/>
        <w:bottom w:val="none" w:sz="0" w:space="0" w:color="auto"/>
        <w:right w:val="none" w:sz="0" w:space="0" w:color="auto"/>
      </w:divBdr>
    </w:div>
    <w:div w:id="1956984913">
      <w:bodyDiv w:val="1"/>
      <w:marLeft w:val="0"/>
      <w:marRight w:val="0"/>
      <w:marTop w:val="0"/>
      <w:marBottom w:val="0"/>
      <w:divBdr>
        <w:top w:val="none" w:sz="0" w:space="0" w:color="auto"/>
        <w:left w:val="none" w:sz="0" w:space="0" w:color="auto"/>
        <w:bottom w:val="none" w:sz="0" w:space="0" w:color="auto"/>
        <w:right w:val="none" w:sz="0" w:space="0" w:color="auto"/>
      </w:divBdr>
    </w:div>
    <w:div w:id="2022315754">
      <w:bodyDiv w:val="1"/>
      <w:marLeft w:val="0"/>
      <w:marRight w:val="0"/>
      <w:marTop w:val="0"/>
      <w:marBottom w:val="0"/>
      <w:divBdr>
        <w:top w:val="none" w:sz="0" w:space="0" w:color="auto"/>
        <w:left w:val="none" w:sz="0" w:space="0" w:color="auto"/>
        <w:bottom w:val="none" w:sz="0" w:space="0" w:color="auto"/>
        <w:right w:val="none" w:sz="0" w:space="0" w:color="auto"/>
      </w:divBdr>
    </w:div>
    <w:div w:id="2120760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3</Pages>
  <Words>1427</Words>
  <Characters>8139</Characters>
  <Application>Microsoft Office Word</Application>
  <DocSecurity>0</DocSecurity>
  <Lines>67</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12</cp:revision>
  <dcterms:created xsi:type="dcterms:W3CDTF">2025-05-24T16:48:00Z</dcterms:created>
  <dcterms:modified xsi:type="dcterms:W3CDTF">2025-05-25T15:49:00Z</dcterms:modified>
</cp:coreProperties>
</file>