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4CBCB" w14:textId="6D047458" w:rsidR="00060149" w:rsidRDefault="00B36A1C">
      <w:r>
        <w:t>Titolo: una nuova sentenza sulla</w:t>
      </w:r>
      <w:r w:rsidR="001043B3">
        <w:t xml:space="preserve"> corretta applicazione della</w:t>
      </w:r>
      <w:r>
        <w:t xml:space="preserve"> </w:t>
      </w:r>
      <w:r w:rsidR="001043B3">
        <w:t>“s</w:t>
      </w:r>
      <w:r>
        <w:t>oggettività passiva in via mediata</w:t>
      </w:r>
      <w:r w:rsidR="001043B3">
        <w:t>”</w:t>
      </w:r>
    </w:p>
    <w:p w14:paraId="1EBC5AFF" w14:textId="6C99638D" w:rsidR="00B36A1C" w:rsidRDefault="00B36A1C">
      <w:r>
        <w:t>Di Alessandro Merciari</w:t>
      </w:r>
    </w:p>
    <w:p w14:paraId="2143035F" w14:textId="77777777" w:rsidR="007919D8" w:rsidRDefault="007919D8" w:rsidP="00B36A1C">
      <w:pPr>
        <w:jc w:val="both"/>
      </w:pPr>
    </w:p>
    <w:p w14:paraId="2BC38223" w14:textId="3728549E" w:rsidR="00B36A1C" w:rsidRDefault="00B36A1C" w:rsidP="00B36A1C">
      <w:pPr>
        <w:jc w:val="both"/>
      </w:pPr>
      <w:r>
        <w:t xml:space="preserve">È di recente pubblicazione </w:t>
      </w:r>
      <w:r w:rsidR="00985978">
        <w:t>una</w:t>
      </w:r>
      <w:r>
        <w:t xml:space="preserve"> sentenza del Giudice di Pace di Treviso </w:t>
      </w:r>
      <w:r w:rsidR="00985978">
        <w:t>nella quale</w:t>
      </w:r>
      <w:r>
        <w:t xml:space="preserve"> si è occupato di soggettività passiva in via mediata nell’ambito di applicazione del CUP per le aziende che erogano i servizi di rete.</w:t>
      </w:r>
    </w:p>
    <w:p w14:paraId="071CA048" w14:textId="4B65FA40" w:rsidR="00B36A1C" w:rsidRDefault="00B36A1C" w:rsidP="00B36A1C">
      <w:pPr>
        <w:jc w:val="both"/>
      </w:pPr>
      <w:r>
        <w:t xml:space="preserve">Nella sentenza </w:t>
      </w:r>
      <w:r w:rsidRPr="00B36A1C">
        <w:t>n.  1386/2024 del 08/02/2024</w:t>
      </w:r>
      <w:r>
        <w:t xml:space="preserve"> viene sposata la linea del Comune rappresentat</w:t>
      </w:r>
      <w:r w:rsidR="007919D8">
        <w:t>o</w:t>
      </w:r>
      <w:r>
        <w:t xml:space="preserve"> dal suo concessionario, secondo il quale è corretto procedere a richiedere il pagamento del Canone anche a quelle società che utilizzano, in via mediata appunto, le reti dei soggetti titolari delle condutture.</w:t>
      </w:r>
    </w:p>
    <w:p w14:paraId="54C35B3E" w14:textId="4475522F" w:rsidR="00B36A1C" w:rsidRDefault="00B36A1C" w:rsidP="00B36A1C">
      <w:pPr>
        <w:jc w:val="both"/>
        <w:rPr>
          <w:i/>
          <w:iCs/>
        </w:rPr>
      </w:pPr>
      <w:r>
        <w:t xml:space="preserve">Il </w:t>
      </w:r>
      <w:r w:rsidR="001043B3">
        <w:t>giudice</w:t>
      </w:r>
      <w:r>
        <w:t xml:space="preserve"> scrive: </w:t>
      </w:r>
      <w:r w:rsidRPr="00B36A1C">
        <w:rPr>
          <w:i/>
          <w:iCs/>
        </w:rPr>
        <w:t>“</w:t>
      </w:r>
      <w:r>
        <w:rPr>
          <w:i/>
          <w:iCs/>
        </w:rPr>
        <w:t>…</w:t>
      </w:r>
      <w:r w:rsidRPr="00B36A1C">
        <w:rPr>
          <w:i/>
          <w:iCs/>
        </w:rPr>
        <w:t xml:space="preserve"> sono dunque tenuti al pagamento del canone in parola i soggetti titolari dell’atto di concessione dell’occupazione del suolo pubblico ed i soggetti che occupano il suolo pubblico anche in via mediata attraverso l’utilizzo materiale delle infrastrutture del soggetto titolare della concessione, come nella fattispecie in esame, e ciò sulla base del numero di utenze che di fatto si utilizzano in virtù di accordi intervenuti con il concessionario. Va in proposito osservato che trattandosi di telecomunicazioni, contrariamente a quanto previsto in materia di distribuzione di gas ed energia, il legislatore fa riferimento alla condivisione delle infrastrutture tra tutti gli operatori del settore di tal che deve essere ritenuta legittima l’applicazione del CUP anche al soggetto passivo mediato, co - utilizzatore dell’infrastruttura.”</w:t>
      </w:r>
    </w:p>
    <w:p w14:paraId="4918667D" w14:textId="26D36E13" w:rsidR="00B36A1C" w:rsidRDefault="00B36A1C" w:rsidP="00B36A1C">
      <w:pPr>
        <w:jc w:val="both"/>
      </w:pPr>
      <w:r>
        <w:t xml:space="preserve">Quest’ultima affermazione è dirimente </w:t>
      </w:r>
      <w:r w:rsidR="001043B3">
        <w:t>sulla</w:t>
      </w:r>
      <w:r>
        <w:t xml:space="preserve"> questione che vede</w:t>
      </w:r>
      <w:r w:rsidR="001043B3">
        <w:t>, fin dalla sua introduzione,</w:t>
      </w:r>
      <w:r>
        <w:t xml:space="preserve"> contrapposte le posizioni dei Comuni </w:t>
      </w:r>
      <w:r w:rsidR="001043B3">
        <w:t>e</w:t>
      </w:r>
      <w:r>
        <w:t xml:space="preserve"> quelle aziende che erogano i servizi di telefonia utilizzando le reti dell’ex monopolista TIM.</w:t>
      </w:r>
    </w:p>
    <w:p w14:paraId="623B3751" w14:textId="0FF06B86" w:rsidR="001043B3" w:rsidRDefault="001043B3" w:rsidP="001043B3">
      <w:pPr>
        <w:jc w:val="both"/>
      </w:pPr>
      <w:r>
        <w:t>In seguito dell’introduzione della norma di interpretazione autentica introdotta con la Legge 146/2021, l’unico settore dove oggi è ancora possibile applicare la soggettività passiva in via mediata è quello delle Telecomunicazioni, inteso come erogazione di servizi voce e internet con linee di rete fissa e trasmissione dati con fibra e cavi. In questo settore le diverse compagnie presenti sul mercato, utilizzano a vario titolo le infrastrutture, sia come titolari della concessione per l’occupazione, sia come occupanti di fatto, sia come utilizzatori in via mediata. In nessun altro settore si registra la compresenza di più operatori che possono competere sul mercato indifferentemente come proprietari dell’infrastruttura (tipicamente TIM) o semplicemente sfruttando le potenzialità grazie alle moderne tecnologie di trasmissione (Vodafone, Wind</w:t>
      </w:r>
      <w:r w:rsidR="003B7083">
        <w:t xml:space="preserve"> </w:t>
      </w:r>
      <w:r>
        <w:t>Tre, Fastweb, ed altre compagnie minori).</w:t>
      </w:r>
    </w:p>
    <w:p w14:paraId="66DA1CB9" w14:textId="182104B8" w:rsidR="001043B3" w:rsidRDefault="001043B3" w:rsidP="001043B3">
      <w:pPr>
        <w:jc w:val="both"/>
      </w:pPr>
      <w:r>
        <w:t>Come scritto correttamente nella sentenza in parola, nei settori del Gas e dell’energia Elettrica invece trova applicazione il criterio indicato nella norma di interpretazione autentica introdotta con la Legge 146/2021, in questi due settori è infatti</w:t>
      </w:r>
      <w:r w:rsidR="00360801">
        <w:t xml:space="preserve"> </w:t>
      </w:r>
      <w:r>
        <w:t>prevista una netta separazione tra i soggetti titolari delle infrastrutture e i soggetti titolari del</w:t>
      </w:r>
      <w:r w:rsidR="00360801">
        <w:t xml:space="preserve"> </w:t>
      </w:r>
      <w:r>
        <w:t>contratto di vendita del bene distribuito alla clientela finale. In questi casi, e solo in questi, il</w:t>
      </w:r>
      <w:r w:rsidR="00360801">
        <w:t xml:space="preserve"> </w:t>
      </w:r>
      <w:r>
        <w:t>pagamento del canone deve avvenire a cura della società titolare della rete (che non può avere</w:t>
      </w:r>
      <w:r w:rsidR="00360801">
        <w:t xml:space="preserve"> </w:t>
      </w:r>
      <w:r>
        <w:t>utenti finali), calcolando il dovuto sulla base delle utenze servite dalle aziende che distribuiscono il</w:t>
      </w:r>
      <w:r w:rsidR="00360801">
        <w:t xml:space="preserve"> </w:t>
      </w:r>
      <w:r>
        <w:t>servizio.</w:t>
      </w:r>
    </w:p>
    <w:p w14:paraId="44EE910F" w14:textId="64332E1C" w:rsidR="0098467C" w:rsidRDefault="003B7083" w:rsidP="00F2305F">
      <w:pPr>
        <w:jc w:val="both"/>
      </w:pPr>
      <w:r>
        <w:t>Sono molti i contenziosi aperti con le principali compagnie telefoniche. Da una parte troviamo le società proprietarie delle infrastrutture, titolari delle concessioni di suolo pubblico, che stanno pagando il canone solo per le proprie utenze, dando quindi valore al concetto di soggettività passiva in via mediata, dall'altra invece le altre compagnie telefoniche che utilizzano in via mediata le reti della società</w:t>
      </w:r>
      <w:r w:rsidR="0098467C">
        <w:t xml:space="preserve"> </w:t>
      </w:r>
      <w:r>
        <w:t>concessionaria che invece ritengono di esserne escluse, invocando il criterio previsto dalla norma</w:t>
      </w:r>
      <w:r w:rsidR="0098467C">
        <w:t xml:space="preserve"> </w:t>
      </w:r>
      <w:r>
        <w:t>di interpretazione autentica. In mezzo, a farne le spese, troviamo gli enti territoriali, che hanno</w:t>
      </w:r>
      <w:r w:rsidR="0098467C">
        <w:t xml:space="preserve"> </w:t>
      </w:r>
      <w:r>
        <w:t>visto il loro gettito più che dimezzato rispetto a qualsiasi previsione</w:t>
      </w:r>
      <w:r w:rsidR="0098467C">
        <w:t>, e che oggi sono costrette a sostenere un contenzioso per vedere le proprie ragioni</w:t>
      </w:r>
      <w:r w:rsidR="00F2305F">
        <w:t xml:space="preserve"> nei confronti di quelle società che utilizzano le reti altrui mediante collegamenti tecnologici quali ad esempio VULA (Virtual </w:t>
      </w:r>
      <w:proofErr w:type="spellStart"/>
      <w:r w:rsidR="00F2305F">
        <w:t>Unbundled</w:t>
      </w:r>
      <w:proofErr w:type="spellEnd"/>
      <w:r w:rsidR="00F2305F">
        <w:t xml:space="preserve"> Local Access), NGA (Next </w:t>
      </w:r>
      <w:proofErr w:type="spellStart"/>
      <w:r w:rsidR="00F2305F">
        <w:t>Generetion</w:t>
      </w:r>
      <w:proofErr w:type="spellEnd"/>
      <w:r w:rsidR="00F2305F">
        <w:t xml:space="preserve"> Access) e SLU (Sub Loop </w:t>
      </w:r>
      <w:proofErr w:type="spellStart"/>
      <w:r w:rsidR="00F2305F">
        <w:t>Unbundling</w:t>
      </w:r>
      <w:proofErr w:type="spellEnd"/>
      <w:r w:rsidR="00F2305F">
        <w:t xml:space="preserve">) ovvero </w:t>
      </w:r>
      <w:r w:rsidR="00F2305F">
        <w:lastRenderedPageBreak/>
        <w:t xml:space="preserve">tutte quelle modalità che gli operatori di rete hanno a disposizione per accedere alla rete dell'operatore </w:t>
      </w:r>
      <w:proofErr w:type="spellStart"/>
      <w:r w:rsidR="00F2305F">
        <w:t>concessionato</w:t>
      </w:r>
      <w:proofErr w:type="spellEnd"/>
      <w:r w:rsidR="00F2305F">
        <w:t>, solitamente Tim/Telecom s.p.a., quale ex monopolista delle infrastrutture nazionali.</w:t>
      </w:r>
    </w:p>
    <w:p w14:paraId="0B4D90D9" w14:textId="407F1CBE" w:rsidR="009567ED" w:rsidRDefault="009567ED" w:rsidP="00F2305F">
      <w:pPr>
        <w:jc w:val="both"/>
      </w:pPr>
      <w:r>
        <w:t>La sentenza del Giudice di Pace di Treviso, rappresenta un nuovo passo in aiuto dei Comuni impegnati in questo percorso a ostacoli alla ricerca della corretta applicazione della “soggettività passiva in via mediata”.</w:t>
      </w:r>
    </w:p>
    <w:p w14:paraId="2C155C9F" w14:textId="77777777" w:rsidR="00B36A1C" w:rsidRPr="00B36A1C" w:rsidRDefault="00B36A1C" w:rsidP="00B36A1C">
      <w:pPr>
        <w:jc w:val="both"/>
      </w:pPr>
    </w:p>
    <w:sectPr w:rsidR="00B36A1C" w:rsidRPr="00B36A1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le Serif Text">
    <w:altName w:val="Sole Serif Text"/>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79E"/>
    <w:rsid w:val="00060149"/>
    <w:rsid w:val="000D2FD2"/>
    <w:rsid w:val="001043B3"/>
    <w:rsid w:val="00360801"/>
    <w:rsid w:val="003B7083"/>
    <w:rsid w:val="005D0672"/>
    <w:rsid w:val="007919D8"/>
    <w:rsid w:val="009567ED"/>
    <w:rsid w:val="0098467C"/>
    <w:rsid w:val="00985978"/>
    <w:rsid w:val="00B36A1C"/>
    <w:rsid w:val="00C9479E"/>
    <w:rsid w:val="00F2305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64FE1"/>
  <w15:chartTrackingRefBased/>
  <w15:docId w15:val="{93519CED-681B-43B9-9677-1AC0E6272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Default">
    <w:name w:val="Default"/>
    <w:rsid w:val="00F2305F"/>
    <w:pPr>
      <w:autoSpaceDE w:val="0"/>
      <w:autoSpaceDN w:val="0"/>
      <w:adjustRightInd w:val="0"/>
      <w:spacing w:after="0" w:line="240" w:lineRule="auto"/>
    </w:pPr>
    <w:rPr>
      <w:rFonts w:ascii="Sole Serif Text" w:hAnsi="Sole Serif Text" w:cs="Sole Serif Text"/>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701</Words>
  <Characters>4000</Characters>
  <Application>Microsoft Office Word</Application>
  <DocSecurity>0</DocSecurity>
  <Lines>33</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10</cp:revision>
  <dcterms:created xsi:type="dcterms:W3CDTF">2024-02-16T15:39:00Z</dcterms:created>
  <dcterms:modified xsi:type="dcterms:W3CDTF">2024-02-18T15:21:00Z</dcterms:modified>
</cp:coreProperties>
</file>