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3F49" w14:textId="77777777" w:rsidR="00BD0818" w:rsidRPr="00BD0818" w:rsidRDefault="00BD0818" w:rsidP="00BD0818">
      <w:pPr>
        <w:rPr>
          <w:b/>
          <w:bCs/>
        </w:rPr>
      </w:pPr>
      <w:r>
        <w:t xml:space="preserve">Titolo: </w:t>
      </w:r>
      <w:r w:rsidRPr="00BD0818">
        <w:rPr>
          <w:b/>
          <w:bCs/>
        </w:rPr>
        <w:t>Ulteriori esenzioni CUP subordinate alle coperture di bilancio</w:t>
      </w:r>
    </w:p>
    <w:p w14:paraId="6AD2E69E" w14:textId="35700E20" w:rsidR="00060149" w:rsidRDefault="00BD0818">
      <w:r>
        <w:t>di Alessandro Merciari</w:t>
      </w:r>
    </w:p>
    <w:p w14:paraId="2ECCC79F" w14:textId="77777777" w:rsidR="00BD0818" w:rsidRPr="00BD0818" w:rsidRDefault="00BD0818"/>
    <w:p w14:paraId="2B4F77D0" w14:textId="2B29DCB7" w:rsidR="00BD0818" w:rsidRDefault="00BD0818">
      <w:r w:rsidRPr="00BD0818">
        <w:rPr>
          <w:b/>
          <w:bCs/>
        </w:rPr>
        <w:t xml:space="preserve">Corte dei Conti – </w:t>
      </w:r>
      <w:proofErr w:type="spellStart"/>
      <w:proofErr w:type="gramStart"/>
      <w:r w:rsidRPr="00BD0818">
        <w:rPr>
          <w:b/>
          <w:bCs/>
        </w:rPr>
        <w:t>Sez.Reg.Controllo</w:t>
      </w:r>
      <w:proofErr w:type="spellEnd"/>
      <w:proofErr w:type="gramEnd"/>
      <w:r w:rsidRPr="00BD0818">
        <w:rPr>
          <w:b/>
          <w:bCs/>
        </w:rPr>
        <w:t xml:space="preserve"> Lazio – Parere 11 del 13/2/2025</w:t>
      </w:r>
    </w:p>
    <w:p w14:paraId="4E25F125" w14:textId="0E77F71B" w:rsidR="00BD0818" w:rsidRPr="00BD0818" w:rsidRDefault="00BD0818">
      <w:r w:rsidRPr="00BD0818">
        <w:t xml:space="preserve">l’Ente territoriale può prevedere </w:t>
      </w:r>
      <w:r w:rsidRPr="00BD0818">
        <w:rPr>
          <w:b/>
          <w:bCs/>
        </w:rPr>
        <w:t>ulteriori esenzioni</w:t>
      </w:r>
      <w:r w:rsidRPr="00BD0818">
        <w:t xml:space="preserve"> del canone unico patrimoniale, </w:t>
      </w:r>
      <w:r w:rsidRPr="00BD0818">
        <w:rPr>
          <w:b/>
          <w:bCs/>
        </w:rPr>
        <w:t>purché</w:t>
      </w:r>
      <w:r w:rsidRPr="00BD0818">
        <w:t xml:space="preserve"> nel rispetto della invarianza del gettito complessivo e degli </w:t>
      </w:r>
      <w:r w:rsidRPr="00BD0818">
        <w:rPr>
          <w:b/>
          <w:bCs/>
        </w:rPr>
        <w:t>equilibri di bilancio</w:t>
      </w:r>
      <w:r w:rsidRPr="00BD0818">
        <w:t>, il tutto previamente certificato dai competenti organi di controllo.</w:t>
      </w:r>
    </w:p>
    <w:sectPr w:rsidR="00BD0818" w:rsidRPr="00BD081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72"/>
    <w:rsid w:val="00060149"/>
    <w:rsid w:val="007B1496"/>
    <w:rsid w:val="00BD0818"/>
    <w:rsid w:val="00D76D0D"/>
    <w:rsid w:val="00E51372"/>
    <w:rsid w:val="00F7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1C2CB"/>
  <w15:chartTrackingRefBased/>
  <w15:docId w15:val="{0FB363BF-A2C1-4CA6-9AFC-4489A391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1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1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1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1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1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1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1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1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1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1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1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1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137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137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13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13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13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13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1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1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1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1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1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13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13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137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1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137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13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2025-02-18T09:31:00Z</dcterms:created>
  <dcterms:modified xsi:type="dcterms:W3CDTF">2025-02-18T11:29:00Z</dcterms:modified>
</cp:coreProperties>
</file>