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5200" w14:textId="2F348825" w:rsidR="00060149" w:rsidRDefault="008F7720">
      <w:r>
        <w:t>Titolo</w:t>
      </w:r>
      <w:r w:rsidR="00F05C09">
        <w:t xml:space="preserve">: </w:t>
      </w:r>
      <w:r w:rsidR="00D911DB" w:rsidRPr="00D911DB">
        <w:t>Uno strumento per valorizzare e governare il proprio territorio</w:t>
      </w:r>
    </w:p>
    <w:p w14:paraId="1235EF6D" w14:textId="29ED11B4" w:rsidR="008F7720" w:rsidRDefault="008F7720">
      <w:r>
        <w:t>Di Alessandro Merciari</w:t>
      </w:r>
    </w:p>
    <w:p w14:paraId="003E583E" w14:textId="77777777" w:rsidR="008F7720" w:rsidRDefault="008F7720"/>
    <w:p w14:paraId="56B5E43F" w14:textId="4BCDBF66" w:rsidR="00D911DB" w:rsidRDefault="00525DEE" w:rsidP="00AA7C67">
      <w:pPr>
        <w:jc w:val="both"/>
      </w:pPr>
      <w:r>
        <w:t xml:space="preserve">Si tratta del </w:t>
      </w:r>
      <w:r w:rsidR="00D911DB">
        <w:t xml:space="preserve">Piano di Massima Occupabilità (PMO), ovvero lo strumento pensato a favore dei Comuni per </w:t>
      </w:r>
      <w:r w:rsidR="00AA7C67">
        <w:t>la gestione</w:t>
      </w:r>
      <w:r w:rsidR="00D911DB">
        <w:t xml:space="preserve"> del proprio territorio</w:t>
      </w:r>
      <w:r w:rsidR="00AA7C67">
        <w:t xml:space="preserve"> in ordine alle occupazioni di suolo pubblico</w:t>
      </w:r>
      <w:r w:rsidR="00D911DB">
        <w:t>.</w:t>
      </w:r>
    </w:p>
    <w:p w14:paraId="7CD30D26" w14:textId="1BBA21CC" w:rsidR="00702802" w:rsidRDefault="00D911DB" w:rsidP="00AA7C67">
      <w:pPr>
        <w:jc w:val="both"/>
      </w:pPr>
      <w:r>
        <w:t xml:space="preserve">Abbiamo sempre parlato del valore che deve assumere il suolo pubblico, in relazione al vincolo di indisponibilità delle aree </w:t>
      </w:r>
      <w:r w:rsidR="00B87F8C">
        <w:t>appartenenti</w:t>
      </w:r>
      <w:r>
        <w:t xml:space="preserve"> al demanio e al patrimonio </w:t>
      </w:r>
      <w:r w:rsidR="00702802">
        <w:t xml:space="preserve">indisponibile </w:t>
      </w:r>
      <w:r>
        <w:t xml:space="preserve">degli enti territoriali. Rimuovere questo vincolo a favore di soggetti privati o pubblici che lo </w:t>
      </w:r>
      <w:r w:rsidR="00B87F8C">
        <w:t>sfrutteranno</w:t>
      </w:r>
      <w:r>
        <w:t xml:space="preserve"> per le proprie iniziative, economiche e non, deve assumere un valore, inteso come corrispettivo</w:t>
      </w:r>
      <w:r w:rsidR="00604129">
        <w:t xml:space="preserve"> riconosciuto all’ente locale</w:t>
      </w:r>
      <w:r>
        <w:t xml:space="preserve"> per lo sfruttamento di </w:t>
      </w:r>
      <w:r w:rsidR="00AA7C67">
        <w:t>un’area</w:t>
      </w:r>
      <w:r>
        <w:t xml:space="preserve"> che diversamente </w:t>
      </w:r>
      <w:r w:rsidR="00AA7C67">
        <w:t>rientrerebbe</w:t>
      </w:r>
      <w:r>
        <w:t xml:space="preserve"> nella disponibilità della collettività, che ne farebbe uso liberamente. </w:t>
      </w:r>
    </w:p>
    <w:p w14:paraId="2EF953E4" w14:textId="457F2728" w:rsidR="00D911DB" w:rsidRDefault="00702802" w:rsidP="00AA7C67">
      <w:pPr>
        <w:jc w:val="both"/>
      </w:pPr>
      <w:r>
        <w:t>Ma q</w:t>
      </w:r>
      <w:r w:rsidR="00D911DB">
        <w:t xml:space="preserve">uanto vale questa </w:t>
      </w:r>
      <w:r w:rsidR="00AA7C67">
        <w:t>disponibilità</w:t>
      </w:r>
      <w:r w:rsidR="00D911DB">
        <w:t xml:space="preserve">? </w:t>
      </w:r>
      <w:r w:rsidR="00AA7C67">
        <w:t>Qual è</w:t>
      </w:r>
      <w:r w:rsidR="00D911DB">
        <w:t xml:space="preserve"> </w:t>
      </w:r>
      <w:r w:rsidR="00AA7C67">
        <w:t xml:space="preserve">il </w:t>
      </w:r>
      <w:r w:rsidR="00B87F8C">
        <w:t>beneficio</w:t>
      </w:r>
      <w:r w:rsidR="00D911DB">
        <w:t xml:space="preserve"> economiche che ritrae</w:t>
      </w:r>
      <w:r w:rsidR="00604129">
        <w:t xml:space="preserve">, direttamente o </w:t>
      </w:r>
      <w:r w:rsidR="00525DEE">
        <w:t>indirettamente, il</w:t>
      </w:r>
      <w:r w:rsidR="00D911DB">
        <w:t xml:space="preserve"> </w:t>
      </w:r>
      <w:r w:rsidR="00B87F8C">
        <w:t>soggetto</w:t>
      </w:r>
      <w:r w:rsidR="00D911DB">
        <w:t xml:space="preserve"> a favore del quale viene concesso l’uso del suolo pubblico? Come quantificare il </w:t>
      </w:r>
      <w:r w:rsidR="00B87F8C">
        <w:t>sacrificio</w:t>
      </w:r>
      <w:r w:rsidR="00D911DB">
        <w:t xml:space="preserve"> che si impone alla collettività per la sottrazione di aree pubbliche? </w:t>
      </w:r>
    </w:p>
    <w:p w14:paraId="2179E243" w14:textId="5CC1D81A" w:rsidR="00D911DB" w:rsidRDefault="00D911DB" w:rsidP="006C6311">
      <w:pPr>
        <w:jc w:val="both"/>
      </w:pPr>
      <w:r>
        <w:t xml:space="preserve">Questi gli interrogativi che da sempre ci poniamo nella gestione del territorio e nella gestione dell’entrata </w:t>
      </w:r>
      <w:r w:rsidR="00AA7C67">
        <w:t>dedicata alle</w:t>
      </w:r>
      <w:r>
        <w:t xml:space="preserve"> occupazioni</w:t>
      </w:r>
      <w:r w:rsidR="00AA7C67">
        <w:t xml:space="preserve"> di spazi ed aree pubbliche</w:t>
      </w:r>
      <w:r>
        <w:t xml:space="preserve">. </w:t>
      </w:r>
    </w:p>
    <w:p w14:paraId="00A94776" w14:textId="759E9BFD" w:rsidR="00D911DB" w:rsidRDefault="00D911DB" w:rsidP="00702802">
      <w:pPr>
        <w:jc w:val="both"/>
      </w:pPr>
      <w:r>
        <w:t xml:space="preserve">Quali </w:t>
      </w:r>
      <w:r w:rsidR="00702802">
        <w:t xml:space="preserve">sono gli </w:t>
      </w:r>
      <w:r>
        <w:t xml:space="preserve">strumenti a disposizione degli uffici </w:t>
      </w:r>
      <w:r w:rsidR="00AA7C67">
        <w:t xml:space="preserve">comunali </w:t>
      </w:r>
      <w:r>
        <w:t>per gestire questo sottile equilibrio che</w:t>
      </w:r>
      <w:r w:rsidR="00702802">
        <w:t xml:space="preserve"> </w:t>
      </w:r>
      <w:r>
        <w:t xml:space="preserve">contemperi gli interessi pubblici con quelli privati? </w:t>
      </w:r>
    </w:p>
    <w:p w14:paraId="71B10743" w14:textId="38CA6A13" w:rsidR="00AA7C67" w:rsidRDefault="00AA7C67" w:rsidP="006C6311">
      <w:pPr>
        <w:jc w:val="both"/>
      </w:pPr>
      <w:r>
        <w:t>Certamente</w:t>
      </w:r>
      <w:r w:rsidR="00702802">
        <w:t>, il più rappresentativo</w:t>
      </w:r>
      <w:r w:rsidR="00604129">
        <w:t xml:space="preserve"> degli strumenti oggi a disposizione</w:t>
      </w:r>
      <w:r w:rsidR="00702802">
        <w:t xml:space="preserve"> è i</w:t>
      </w:r>
      <w:r>
        <w:t xml:space="preserve">l </w:t>
      </w:r>
      <w:r w:rsidR="00702802">
        <w:t xml:space="preserve">cosiddetto </w:t>
      </w:r>
      <w:r>
        <w:t xml:space="preserve">Piano di Massima Occupabilità (PMO), </w:t>
      </w:r>
      <w:r w:rsidR="00702802">
        <w:t>ovvero quel</w:t>
      </w:r>
      <w:r w:rsidR="00604129">
        <w:t xml:space="preserve"> documento </w:t>
      </w:r>
      <w:r>
        <w:t>di natura pianificatoria che supporta la corretta gestione del territorio e degli spazi pubblici.</w:t>
      </w:r>
    </w:p>
    <w:p w14:paraId="061D7297" w14:textId="190B6441" w:rsidR="00AA7C67" w:rsidRDefault="00AA7C67" w:rsidP="006C6311">
      <w:pPr>
        <w:jc w:val="both"/>
      </w:pPr>
      <w:r>
        <w:t xml:space="preserve">Il PMO è finalizzato infatti alla tutela dell’esigenza dell’Amministrazione Comunale di individuare forme omogenee di fruizione di spazi pubblici da parte degli operatori commerciali in luoghi di notevole interesse pubblico, </w:t>
      </w:r>
      <w:r w:rsidR="00944595">
        <w:t xml:space="preserve">con </w:t>
      </w:r>
      <w:r>
        <w:t>l’obiettivo di garantire una rigorosa tutela del patrimonio storico, culturale, artistico ed ambientale e per garantire un equilibrio tra l’espansione delle attività commerciali, la regolamentazione del traffico (veicolare e pedonale) e la tutela della residenzialità</w:t>
      </w:r>
      <w:r w:rsidR="00944595">
        <w:t>,</w:t>
      </w:r>
      <w:r>
        <w:t xml:space="preserve"> nonché per salvaguardare il diritto alla salute dei cittadini</w:t>
      </w:r>
      <w:r w:rsidR="00702802">
        <w:t>.</w:t>
      </w:r>
    </w:p>
    <w:p w14:paraId="766A9E7C" w14:textId="2D5103ED" w:rsidR="00D911DB" w:rsidRDefault="006C6311" w:rsidP="006C6311">
      <w:pPr>
        <w:jc w:val="both"/>
      </w:pPr>
      <w:r>
        <w:t xml:space="preserve">Dotarsi di un Piano della Massima Occupabilità (PMO) consente </w:t>
      </w:r>
      <w:r w:rsidR="00702802">
        <w:t xml:space="preserve">oggi </w:t>
      </w:r>
      <w:r>
        <w:t>di subordinare il rilascio di concessioni di suolo pubblico alle prescrizioni di uno strumento di pianificazione che individua la massima superfice concedibile, contemperando</w:t>
      </w:r>
      <w:r w:rsidR="00702802">
        <w:t xml:space="preserve"> </w:t>
      </w:r>
      <w:r>
        <w:t xml:space="preserve"> il diritto alla piena fruibilità delle bellezze artistiche, architettoniche e ambientali delle aree da parte della cittadinanza e dei visitatori con l’esigenza degli operatori commerciali, regolarmente autorizzati, a svolgere la propria attività economica nelle stesse aree, assicurando agli Uffici preposti regole certe per il rilascio delle concessioni.</w:t>
      </w:r>
    </w:p>
    <w:p w14:paraId="65FA11D9" w14:textId="0256ADCB" w:rsidR="008F7720" w:rsidRDefault="00944595" w:rsidP="004A7A8E">
      <w:pPr>
        <w:jc w:val="both"/>
      </w:pPr>
      <w:r>
        <w:t xml:space="preserve">L’importanza di questo strumento traspare in modo limpido dalla lettura della sentenza numero 3375 del 28 aprile 2022 del </w:t>
      </w:r>
      <w:r w:rsidR="006C6311">
        <w:t xml:space="preserve">Consiglio di Stato, </w:t>
      </w:r>
      <w:r w:rsidR="00702802">
        <w:t>con la quale si era</w:t>
      </w:r>
      <w:r w:rsidR="006C6311">
        <w:t xml:space="preserve"> deciso in merito </w:t>
      </w:r>
      <w:r>
        <w:t>al ricorso</w:t>
      </w:r>
      <w:r w:rsidR="006C6311">
        <w:t xml:space="preserve"> di una attività</w:t>
      </w:r>
      <w:r>
        <w:t xml:space="preserve"> economica contro la decisione della </w:t>
      </w:r>
      <w:r w:rsidR="006C6311">
        <w:t xml:space="preserve">pubblica amministrazione di Roma Capitale </w:t>
      </w:r>
      <w:r>
        <w:t xml:space="preserve">che le </w:t>
      </w:r>
      <w:r w:rsidR="006C6311">
        <w:t>aveva revocato la concessione di occupazione suolo pubblico in quanto non più conforme proprio al Piano di Massima</w:t>
      </w:r>
      <w:r w:rsidR="004A7A8E">
        <w:t xml:space="preserve"> </w:t>
      </w:r>
      <w:r w:rsidR="006C6311">
        <w:t>Occupabilità approvato con Delibera del Consiglio Municipale</w:t>
      </w:r>
      <w:r w:rsidR="004A7A8E">
        <w:t>.</w:t>
      </w:r>
    </w:p>
    <w:p w14:paraId="38166EF7" w14:textId="77777777" w:rsidR="00870188" w:rsidRDefault="004A7A8E" w:rsidP="004A7A8E">
      <w:pPr>
        <w:jc w:val="both"/>
      </w:pPr>
      <w:r>
        <w:t xml:space="preserve">I giudici in quell’occasione </w:t>
      </w:r>
      <w:r w:rsidR="00870188">
        <w:t>ritennero</w:t>
      </w:r>
      <w:r>
        <w:t xml:space="preserve"> che l’Amministrazione</w:t>
      </w:r>
      <w:r w:rsidR="00870188">
        <w:t xml:space="preserve"> era “</w:t>
      </w:r>
      <w:r w:rsidRPr="004A7A8E">
        <w:rPr>
          <w:i/>
          <w:iCs/>
        </w:rPr>
        <w:t xml:space="preserve">chiamata ad operare un bilanciamento tra gli interessi e la soluzione adottata, nell’esercizio delle proprie prerogative discrezionali, pur se tale da sacrificare in parte valori ed interessi privati particolarmente rilevanti, può essere sindacata solo per manifesta illogicità o travisamento dei fatti, figure sintomatiche dell’eccesso di potere che non possono ritenersi presenti nel caso </w:t>
      </w:r>
      <w:r w:rsidRPr="004A7A8E">
        <w:rPr>
          <w:i/>
          <w:iCs/>
        </w:rPr>
        <w:lastRenderedPageBreak/>
        <w:t>di specie, in cui sono stati prioritariamente tutelati valori ed interessi di rilievo pubblico, quali quelli afferenti alla salvaguardia del patrimonio storico-culturale della città di Roma.”</w:t>
      </w:r>
    </w:p>
    <w:p w14:paraId="4973799C" w14:textId="3FD94BD2" w:rsidR="00944595" w:rsidRPr="00944595" w:rsidRDefault="00944595" w:rsidP="004A7A8E">
      <w:pPr>
        <w:jc w:val="both"/>
      </w:pPr>
      <w:r>
        <w:t>Fatta questa analisi e detto che il PMO è oggi uno strumento così importante nell’ambito del governo del proprio territorio, vediamo come una città ligure, seguendo l’esempio di altre città più grandi, si sia dotat</w:t>
      </w:r>
      <w:r w:rsidR="00AC3883">
        <w:t>a</w:t>
      </w:r>
      <w:r>
        <w:t xml:space="preserve"> di un proprio PMO calato sulla realtà territoriale</w:t>
      </w:r>
      <w:r w:rsidR="00AC3883">
        <w:t xml:space="preserve"> che la contraddistingue</w:t>
      </w:r>
      <w:r>
        <w:t>.</w:t>
      </w:r>
    </w:p>
    <w:p w14:paraId="41058F01" w14:textId="5DDCC7B3" w:rsidR="004A7A8E" w:rsidRDefault="00870188" w:rsidP="004A7A8E">
      <w:pPr>
        <w:jc w:val="both"/>
      </w:pPr>
      <w:r>
        <w:t xml:space="preserve">Case study: Il </w:t>
      </w:r>
      <w:r w:rsidR="00944595">
        <w:t>Piano</w:t>
      </w:r>
      <w:r>
        <w:t xml:space="preserve"> adottato dal Comune di Imperia</w:t>
      </w:r>
    </w:p>
    <w:p w14:paraId="40EB5369" w14:textId="640EB89D" w:rsidR="00870188" w:rsidRDefault="00944595" w:rsidP="004A7A8E">
      <w:pPr>
        <w:jc w:val="both"/>
      </w:pPr>
      <w:r>
        <w:t>Come detto, t</w:t>
      </w:r>
      <w:r w:rsidR="00870188">
        <w:t>ra gli enti territoriali virtuosi che si sono dotati di un PMO, troviamo il Comune di Imperia che nel mese di dicembre 2024 ne ha deliberato l’adozione del regolamento.</w:t>
      </w:r>
    </w:p>
    <w:p w14:paraId="34883DDB" w14:textId="77777777" w:rsidR="000C5E3D" w:rsidRDefault="00870188" w:rsidP="00870188">
      <w:pPr>
        <w:jc w:val="both"/>
      </w:pPr>
      <w:r w:rsidRPr="00870188">
        <w:t xml:space="preserve">Il Regolamento </w:t>
      </w:r>
      <w:r>
        <w:t xml:space="preserve">adottato </w:t>
      </w:r>
      <w:r w:rsidR="000C5E3D">
        <w:t xml:space="preserve">dal capoluogo ligure </w:t>
      </w:r>
      <w:r w:rsidRPr="00870188">
        <w:t>ha lo scopo di garantire una rigorosa tutela del patrimonio storico, culturale, artistico ed ambientale dei valori architettonici e del decoro urbano</w:t>
      </w:r>
      <w:r w:rsidR="000C5E3D">
        <w:t>,</w:t>
      </w:r>
      <w:r w:rsidRPr="00870188">
        <w:t xml:space="preserve"> assicurando un equilibrio tra l’espansione delle attività commerciali, la regolamentazione del traffico urbano e la tutela della residenzialità nonché per salvaguardare il diritto alla salute dei cittadini. </w:t>
      </w:r>
    </w:p>
    <w:p w14:paraId="4128066A" w14:textId="42491471" w:rsidR="000C5E3D" w:rsidRDefault="00AC3883" w:rsidP="00870188">
      <w:pPr>
        <w:jc w:val="both"/>
      </w:pPr>
      <w:r>
        <w:t>Come si legge nelle premesse del regolamento, l</w:t>
      </w:r>
      <w:r w:rsidR="00870188" w:rsidRPr="00870188">
        <w:t>'obiettivo</w:t>
      </w:r>
      <w:r w:rsidR="00870188">
        <w:t>, individuato dall’Amministrazione di Imperia,</w:t>
      </w:r>
      <w:r w:rsidR="00870188" w:rsidRPr="00870188">
        <w:t xml:space="preserve"> è di rendere l'ambiente urbano progressivamente</w:t>
      </w:r>
      <w:r w:rsidR="00870188">
        <w:t xml:space="preserve"> </w:t>
      </w:r>
      <w:r w:rsidR="00870188" w:rsidRPr="00870188">
        <w:t>più ordinato e decoroso, potenziando la vocazione turistica e commerciale della Città, con rilevanti vantaggi di immagine, di qualità urbana e di valore economico per gli operatori e per la cittadinanza.</w:t>
      </w:r>
    </w:p>
    <w:p w14:paraId="600A9FAA" w14:textId="140DAD56" w:rsidR="00870188" w:rsidRDefault="000C5E3D" w:rsidP="00870188">
      <w:pPr>
        <w:jc w:val="both"/>
      </w:pPr>
      <w:r>
        <w:t>Caratteristiche queste, che devono assumere sempre più importanza</w:t>
      </w:r>
      <w:r w:rsidR="00525DEE">
        <w:t xml:space="preserve"> nella gestione del territorio</w:t>
      </w:r>
      <w:r>
        <w:t xml:space="preserve">. L’ambiente urbano delle nostre città deve essere sempre </w:t>
      </w:r>
      <w:r w:rsidR="00AC3883">
        <w:t xml:space="preserve">di </w:t>
      </w:r>
      <w:r>
        <w:t>più al centro delle attenzioni degli amministratori pubblici.</w:t>
      </w:r>
      <w:r w:rsidR="00AC3883">
        <w:t xml:space="preserve"> In questo senso l’obiettivo di rendere l’ambiente urbano sempre più ordinato e decoroso deve collegarsi ai conseguenti vantaggi, diretti e indiretti, che si realizzano nel tessuto sociale, culturale, economico e turistico del comune amministrato.</w:t>
      </w:r>
    </w:p>
    <w:p w14:paraId="0C4E008D" w14:textId="2D3D72A3" w:rsidR="0036715A" w:rsidRDefault="008D22E8" w:rsidP="0036715A">
      <w:pPr>
        <w:jc w:val="both"/>
      </w:pPr>
      <w:r>
        <w:t>Il Regolamento di Imperia, dopo una prima parte dedicata alla finalità del documento e all’area del territorio esclus</w:t>
      </w:r>
      <w:r w:rsidR="00525DEE">
        <w:t>a</w:t>
      </w:r>
      <w:r>
        <w:t xml:space="preserve"> dall’applicazione del Regolamento (aree portuali), presenta un </w:t>
      </w:r>
      <w:r w:rsidR="00617B70">
        <w:t>c</w:t>
      </w:r>
      <w:r>
        <w:t xml:space="preserve">apo dedicato alle definizioni e </w:t>
      </w:r>
      <w:r w:rsidR="003B4534">
        <w:t xml:space="preserve">ai </w:t>
      </w:r>
      <w:r>
        <w:t xml:space="preserve">parametri </w:t>
      </w:r>
      <w:r w:rsidR="00AC3883">
        <w:t xml:space="preserve">che devono riscontrarsi nelle occupazioni realizzate sul territorio. Tra queste davvero </w:t>
      </w:r>
      <w:r>
        <w:t xml:space="preserve">interessante </w:t>
      </w:r>
      <w:r w:rsidR="0036715A">
        <w:t>leggere</w:t>
      </w:r>
      <w:r w:rsidR="00AC3883">
        <w:t>, ad esempio,</w:t>
      </w:r>
      <w:r w:rsidR="00556D65">
        <w:t xml:space="preserve"> </w:t>
      </w:r>
      <w:r w:rsidR="0036715A">
        <w:t xml:space="preserve">la definizione di </w:t>
      </w:r>
      <w:r w:rsidR="0036715A" w:rsidRPr="0036715A">
        <w:rPr>
          <w:i/>
          <w:iCs/>
        </w:rPr>
        <w:t>dehors</w:t>
      </w:r>
      <w:r w:rsidR="0036715A">
        <w:t>, ovvero</w:t>
      </w:r>
      <w:r w:rsidR="008B1124">
        <w:t xml:space="preserve"> quell’</w:t>
      </w:r>
      <w:r w:rsidR="0036715A">
        <w:t xml:space="preserve">insieme </w:t>
      </w:r>
      <w:r w:rsidR="008B1124">
        <w:t>di</w:t>
      </w:r>
      <w:r w:rsidR="0036715A">
        <w:t xml:space="preserve"> strutture che delimitano e/o arredano uno spazio destinato alla somministrazione all'aperto di alimenti e bevande da parte di esercizi pubblici, che possono essere permanenti, stagionali o temporanei;</w:t>
      </w:r>
      <w:r w:rsidR="00556D65">
        <w:t xml:space="preserve"> ma anche la </w:t>
      </w:r>
      <w:r w:rsidR="0036715A">
        <w:t xml:space="preserve">definizione di </w:t>
      </w:r>
      <w:r w:rsidR="0036715A" w:rsidRPr="0036715A">
        <w:rPr>
          <w:i/>
          <w:iCs/>
        </w:rPr>
        <w:t>Area Attrezzata</w:t>
      </w:r>
      <w:r w:rsidR="0036715A">
        <w:t xml:space="preserve">, ovvero </w:t>
      </w:r>
      <w:r w:rsidR="00AC3883">
        <w:t>quel</w:t>
      </w:r>
      <w:r w:rsidR="0036715A">
        <w:t>l’insieme di elementi mobili, posti in modo funzionale ed armonico sul territorio, destinat</w:t>
      </w:r>
      <w:r w:rsidR="00AC3883">
        <w:t>i</w:t>
      </w:r>
      <w:r w:rsidR="003B4534">
        <w:t xml:space="preserve"> anch’ess</w:t>
      </w:r>
      <w:r w:rsidR="00AC3883">
        <w:t>i</w:t>
      </w:r>
      <w:r w:rsidR="0036715A">
        <w:t xml:space="preserve"> alla somministrazione all'aperto di alimenti e bevande da parte di esercizi pubblici</w:t>
      </w:r>
      <w:r w:rsidR="003B4534">
        <w:t>.</w:t>
      </w:r>
    </w:p>
    <w:p w14:paraId="0D703544" w14:textId="38154041" w:rsidR="008B1124" w:rsidRDefault="008B1124" w:rsidP="0036715A">
      <w:pPr>
        <w:jc w:val="both"/>
      </w:pPr>
      <w:r>
        <w:t>Il regolamento stabilisce</w:t>
      </w:r>
      <w:r w:rsidR="00721DC2">
        <w:t xml:space="preserve"> anche</w:t>
      </w:r>
      <w:r>
        <w:t xml:space="preserve"> </w:t>
      </w:r>
      <w:r w:rsidRPr="008B1124">
        <w:t>le</w:t>
      </w:r>
      <w:r>
        <w:t xml:space="preserve"> diverse </w:t>
      </w:r>
      <w:r w:rsidRPr="008B1124">
        <w:t xml:space="preserve">tipologie di </w:t>
      </w:r>
      <w:r w:rsidRPr="008B1124">
        <w:rPr>
          <w:i/>
          <w:iCs/>
        </w:rPr>
        <w:t>dehors</w:t>
      </w:r>
      <w:r>
        <w:t xml:space="preserve"> </w:t>
      </w:r>
      <w:r w:rsidR="00617B70">
        <w:t xml:space="preserve">ammesse </w:t>
      </w:r>
      <w:r>
        <w:t xml:space="preserve">nel territorio </w:t>
      </w:r>
      <w:r w:rsidR="00B70133">
        <w:t xml:space="preserve">comunale, classificando </w:t>
      </w:r>
      <w:r w:rsidR="00721DC2">
        <w:t>i diversi</w:t>
      </w:r>
      <w:r w:rsidR="00B70133">
        <w:t xml:space="preserve"> elementi di arredo</w:t>
      </w:r>
      <w:r w:rsidR="00617B70">
        <w:t xml:space="preserve"> che si possono realizzare</w:t>
      </w:r>
      <w:r w:rsidR="00B70133">
        <w:t xml:space="preserve">, gli elementi accessori e stabilendo regole su impianti pubblicitari, pedane, illuminazione, </w:t>
      </w:r>
      <w:r w:rsidR="00E252F3">
        <w:t xml:space="preserve">ecc… </w:t>
      </w:r>
      <w:r w:rsidR="00721DC2">
        <w:t>oltre che</w:t>
      </w:r>
      <w:r w:rsidR="00E252F3">
        <w:t xml:space="preserve"> fissa</w:t>
      </w:r>
      <w:r w:rsidR="00721DC2">
        <w:t>re</w:t>
      </w:r>
      <w:r w:rsidR="00E252F3">
        <w:t xml:space="preserve"> limiti dimensionali prevedendo </w:t>
      </w:r>
      <w:r w:rsidR="00721DC2">
        <w:t>la</w:t>
      </w:r>
      <w:r w:rsidR="00E252F3">
        <w:t xml:space="preserve"> superficie massima </w:t>
      </w:r>
      <w:r w:rsidR="00721DC2">
        <w:t>realizzabile</w:t>
      </w:r>
      <w:r w:rsidR="00E252F3">
        <w:t xml:space="preserve"> in </w:t>
      </w:r>
      <w:r w:rsidR="00721DC2">
        <w:t>rapporto</w:t>
      </w:r>
      <w:r w:rsidR="00E252F3">
        <w:t xml:space="preserve"> a quella interna dei locali. </w:t>
      </w:r>
      <w:r w:rsidR="00716D7B">
        <w:t>Vengono così fissate tutte le regole a cui i locali, bar e ristoranti, devono attenersi per poter richiedere e installare su suolo pubblico i dehors o le aree attrezzate.</w:t>
      </w:r>
      <w:r w:rsidR="00617B70">
        <w:t xml:space="preserve"> A </w:t>
      </w:r>
      <w:r w:rsidR="00721DC2">
        <w:t>completamento</w:t>
      </w:r>
      <w:r w:rsidR="00617B70">
        <w:t xml:space="preserve"> delle disposizioni</w:t>
      </w:r>
      <w:r w:rsidR="00721DC2">
        <w:t xml:space="preserve"> scritte</w:t>
      </w:r>
      <w:r w:rsidR="00617B70">
        <w:t xml:space="preserve"> </w:t>
      </w:r>
      <w:r w:rsidR="00E252F3">
        <w:t>t</w:t>
      </w:r>
      <w:r w:rsidR="00617B70">
        <w:t xml:space="preserve">roviamo poi gli allegati al regolamento dove vengono riprodotti graficamente </w:t>
      </w:r>
      <w:r w:rsidR="00721DC2">
        <w:t xml:space="preserve">le </w:t>
      </w:r>
      <w:r w:rsidR="00617B70" w:rsidRPr="004C0285">
        <w:t>tipologie e concept</w:t>
      </w:r>
      <w:r w:rsidR="00617B70">
        <w:t xml:space="preserve"> (allegato A) e </w:t>
      </w:r>
      <w:r w:rsidR="00721DC2">
        <w:t xml:space="preserve">i </w:t>
      </w:r>
      <w:r w:rsidR="00617B70" w:rsidRPr="004C0285">
        <w:t>disegni tecnici</w:t>
      </w:r>
      <w:r w:rsidR="00617B70">
        <w:t xml:space="preserve"> (allegato B)</w:t>
      </w:r>
      <w:r w:rsidR="00E252F3">
        <w:t xml:space="preserve"> delle diverse strutture ammesse all’installazione</w:t>
      </w:r>
      <w:r w:rsidR="00617B70">
        <w:t>.</w:t>
      </w:r>
    </w:p>
    <w:p w14:paraId="06C1A88C" w14:textId="6639C9AF" w:rsidR="00716D7B" w:rsidRDefault="00721DC2" w:rsidP="0036715A">
      <w:pPr>
        <w:jc w:val="both"/>
      </w:pPr>
      <w:r>
        <w:t>Nella lettura del regolamento è interessante</w:t>
      </w:r>
      <w:r w:rsidR="00716D7B">
        <w:t xml:space="preserve"> anche la disciplina dedicata ai locali di </w:t>
      </w:r>
      <w:r w:rsidR="006C454C">
        <w:t>attività artigianale</w:t>
      </w:r>
      <w:r w:rsidR="00716D7B">
        <w:t xml:space="preserve"> e a quelli di vicinato, che chiaramente seguono una </w:t>
      </w:r>
      <w:r w:rsidR="00893CE1">
        <w:t>regolamentazione diversa</w:t>
      </w:r>
      <w:r w:rsidR="00716D7B">
        <w:t xml:space="preserve"> </w:t>
      </w:r>
      <w:r w:rsidR="006C454C">
        <w:t xml:space="preserve">rispetto </w:t>
      </w:r>
      <w:r w:rsidR="00716D7B">
        <w:t>ai locali con licenza di somministrazione cibi e bevande.</w:t>
      </w:r>
      <w:r w:rsidR="006C454C">
        <w:t xml:space="preserve"> A questa tipologia di attività viene </w:t>
      </w:r>
      <w:r w:rsidR="00893CE1">
        <w:t xml:space="preserve">così </w:t>
      </w:r>
      <w:r w:rsidR="006C454C">
        <w:t>limitata la superficie concedibile con il posizionamento di sole panche e tavolini</w:t>
      </w:r>
      <w:r w:rsidR="004C397F">
        <w:t xml:space="preserve"> che non consentono la somministrazione</w:t>
      </w:r>
      <w:r w:rsidR="00893CE1">
        <w:t xml:space="preserve"> diretta</w:t>
      </w:r>
      <w:r w:rsidR="004C397F">
        <w:t>.</w:t>
      </w:r>
      <w:r w:rsidR="00893CE1">
        <w:t xml:space="preserve"> Tema molto delicato che ha da sempre visto contrapposte le posizioni delle varie attività commerciali, che si contendono il mercato del consumo sul posto in concorrenza tra loro.</w:t>
      </w:r>
    </w:p>
    <w:p w14:paraId="3B4F9E73" w14:textId="3F0558CF" w:rsidR="004C397F" w:rsidRDefault="004C397F" w:rsidP="0036715A">
      <w:pPr>
        <w:jc w:val="both"/>
      </w:pPr>
      <w:r>
        <w:lastRenderedPageBreak/>
        <w:t xml:space="preserve">Nel regolamento infine </w:t>
      </w:r>
      <w:r w:rsidR="00893CE1">
        <w:t xml:space="preserve">viene </w:t>
      </w:r>
      <w:r>
        <w:t>disposta la tempistica di adeguamento di tutte le strutture già esistenti, concedendo</w:t>
      </w:r>
      <w:r w:rsidR="00893CE1">
        <w:t xml:space="preserve"> un tempo ragionevole di</w:t>
      </w:r>
      <w:r>
        <w:t xml:space="preserve"> 24 mesi </w:t>
      </w:r>
      <w:r w:rsidR="00893CE1">
        <w:t>per la</w:t>
      </w:r>
      <w:r>
        <w:t xml:space="preserve"> regolarizzazione dei dehors agli standard imposti dal nuovo PMO e </w:t>
      </w:r>
      <w:r w:rsidR="00893CE1">
        <w:t xml:space="preserve">di </w:t>
      </w:r>
      <w:r>
        <w:t xml:space="preserve">12 mesi alle altre strutture insistenti sul territorio comunale. Tempi sicuramente congrui, che consentono alle aziende di programmare gli investimenti necessari </w:t>
      </w:r>
      <w:r w:rsidR="00893CE1">
        <w:t xml:space="preserve">da dedicare </w:t>
      </w:r>
      <w:r>
        <w:t>al rinnovo delle strutture di vendita e somministrazione.</w:t>
      </w:r>
    </w:p>
    <w:p w14:paraId="0659DBFE" w14:textId="77777777" w:rsidR="004C397F" w:rsidRDefault="004C397F" w:rsidP="0036715A">
      <w:pPr>
        <w:jc w:val="both"/>
      </w:pPr>
    </w:p>
    <w:p w14:paraId="7B841409" w14:textId="77777777" w:rsidR="00716D7B" w:rsidRDefault="00716D7B" w:rsidP="0036715A">
      <w:pPr>
        <w:jc w:val="both"/>
      </w:pPr>
    </w:p>
    <w:p w14:paraId="4CDDCB88" w14:textId="77777777" w:rsidR="003B4534" w:rsidRDefault="003B4534" w:rsidP="0036715A">
      <w:pPr>
        <w:jc w:val="both"/>
      </w:pPr>
    </w:p>
    <w:p w14:paraId="07749A06" w14:textId="77777777" w:rsidR="0036715A" w:rsidRDefault="0036715A" w:rsidP="0036715A">
      <w:pPr>
        <w:jc w:val="both"/>
      </w:pPr>
    </w:p>
    <w:p w14:paraId="35D3566E" w14:textId="77777777" w:rsidR="0036715A" w:rsidRDefault="0036715A" w:rsidP="0036715A">
      <w:pPr>
        <w:jc w:val="both"/>
      </w:pPr>
    </w:p>
    <w:p w14:paraId="14F16E73" w14:textId="77777777" w:rsidR="000C5E3D" w:rsidRDefault="000C5E3D" w:rsidP="00870188">
      <w:pPr>
        <w:jc w:val="both"/>
      </w:pPr>
    </w:p>
    <w:p w14:paraId="05F66E10" w14:textId="77777777" w:rsidR="00870188" w:rsidRPr="00870188" w:rsidRDefault="00870188" w:rsidP="00870188">
      <w:pPr>
        <w:jc w:val="both"/>
      </w:pPr>
    </w:p>
    <w:p w14:paraId="2B208192" w14:textId="77777777" w:rsidR="00870188" w:rsidRDefault="00870188" w:rsidP="004A7A8E">
      <w:pPr>
        <w:jc w:val="both"/>
      </w:pPr>
    </w:p>
    <w:p w14:paraId="033D05E2" w14:textId="77777777" w:rsidR="00870188" w:rsidRDefault="00870188" w:rsidP="004A7A8E">
      <w:pPr>
        <w:jc w:val="both"/>
      </w:pPr>
    </w:p>
    <w:p w14:paraId="1ADA82FB" w14:textId="77777777" w:rsidR="00870188" w:rsidRDefault="00870188" w:rsidP="004A7A8E">
      <w:pPr>
        <w:jc w:val="both"/>
      </w:pPr>
    </w:p>
    <w:sectPr w:rsidR="008701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B5"/>
    <w:rsid w:val="00060149"/>
    <w:rsid w:val="000C5E3D"/>
    <w:rsid w:val="0036715A"/>
    <w:rsid w:val="003B4534"/>
    <w:rsid w:val="00436BAB"/>
    <w:rsid w:val="004A7A8E"/>
    <w:rsid w:val="004C0285"/>
    <w:rsid w:val="004C397F"/>
    <w:rsid w:val="00525DEE"/>
    <w:rsid w:val="00556D65"/>
    <w:rsid w:val="00604129"/>
    <w:rsid w:val="00617B70"/>
    <w:rsid w:val="006C454C"/>
    <w:rsid w:val="006C6311"/>
    <w:rsid w:val="00702802"/>
    <w:rsid w:val="00710CF1"/>
    <w:rsid w:val="00716D7B"/>
    <w:rsid w:val="00721DC2"/>
    <w:rsid w:val="007B1496"/>
    <w:rsid w:val="008557CB"/>
    <w:rsid w:val="00870188"/>
    <w:rsid w:val="00893CE1"/>
    <w:rsid w:val="008B1124"/>
    <w:rsid w:val="008D22E8"/>
    <w:rsid w:val="008F7720"/>
    <w:rsid w:val="00944595"/>
    <w:rsid w:val="009C2FD5"/>
    <w:rsid w:val="00AA7C67"/>
    <w:rsid w:val="00AC3883"/>
    <w:rsid w:val="00B70133"/>
    <w:rsid w:val="00B87F8C"/>
    <w:rsid w:val="00D716CE"/>
    <w:rsid w:val="00D911DB"/>
    <w:rsid w:val="00E252F3"/>
    <w:rsid w:val="00E94222"/>
    <w:rsid w:val="00F05C09"/>
    <w:rsid w:val="00F133B5"/>
    <w:rsid w:val="00F177FA"/>
    <w:rsid w:val="00F5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B131"/>
  <w15:chartTrackingRefBased/>
  <w15:docId w15:val="{80B3CF60-5275-4EDF-A6B2-E5AC5762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3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3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3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3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33B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33B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33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33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33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33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33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33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33B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3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33B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3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3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20</cp:revision>
  <dcterms:created xsi:type="dcterms:W3CDTF">2025-02-06T09:16:00Z</dcterms:created>
  <dcterms:modified xsi:type="dcterms:W3CDTF">2025-03-17T11:49:00Z</dcterms:modified>
</cp:coreProperties>
</file>