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4C6F" w14:textId="747FCB21" w:rsidR="00060149" w:rsidRDefault="004A10FD">
      <w:r>
        <w:t>Articolo:</w:t>
      </w:r>
      <w:r w:rsidR="00F74F0C" w:rsidRPr="00F74F0C">
        <w:t xml:space="preserve"> come cambia il CUP per il servizio di telefonia </w:t>
      </w:r>
    </w:p>
    <w:p w14:paraId="7DB058CD" w14:textId="5D9479C4" w:rsidR="004A10FD" w:rsidRDefault="004A10FD">
      <w:r>
        <w:t>Di Alessandro Merciari</w:t>
      </w:r>
    </w:p>
    <w:p w14:paraId="205AD8C7" w14:textId="77777777" w:rsidR="004A10FD" w:rsidRDefault="004A10FD" w:rsidP="00D11A23">
      <w:pPr>
        <w:jc w:val="both"/>
      </w:pPr>
    </w:p>
    <w:p w14:paraId="73D47878" w14:textId="38A7FB81" w:rsidR="001F7200" w:rsidRDefault="001F7200" w:rsidP="001F7200">
      <w:pPr>
        <w:jc w:val="both"/>
      </w:pPr>
      <w:r>
        <w:t xml:space="preserve">Con le dichiarazioni inviate a tutti gli enti locali, TIM </w:t>
      </w:r>
      <w:r w:rsidR="00F35D8F">
        <w:t>nei</w:t>
      </w:r>
      <w:r>
        <w:t xml:space="preserve"> giorni </w:t>
      </w:r>
      <w:r w:rsidR="00F35D8F">
        <w:t xml:space="preserve">scorsi ha </w:t>
      </w:r>
      <w:r>
        <w:t xml:space="preserve">comunicato quello che oggi rappresenta un vero e proprio </w:t>
      </w:r>
      <w:r w:rsidR="00F35D8F">
        <w:t>stravolgimento del canone previsto a favore di Comuni e Province per le occupazioni permanenti realizzate con cavi e condutture necessari all’erogazione dei servizi di rete telefonica</w:t>
      </w:r>
      <w:r>
        <w:t xml:space="preserve">. La compagnia ex monopolista, per effetto della vendita della propria infrastruttura di rete fissa alla società </w:t>
      </w:r>
      <w:r w:rsidR="00A911DD">
        <w:t>FiberCop</w:t>
      </w:r>
      <w:r>
        <w:t xml:space="preserve"> S.p.A. a far data dal 1° luglio 2024, dichiara </w:t>
      </w:r>
      <w:r w:rsidR="00F74F0C">
        <w:t xml:space="preserve">per l’anno corrente </w:t>
      </w:r>
      <w:r>
        <w:t xml:space="preserve">una sola utenza per ciascun territorio, con conseguente pagamento del canone nella </w:t>
      </w:r>
      <w:r w:rsidR="00F35D8F">
        <w:t xml:space="preserve">sola </w:t>
      </w:r>
      <w:r>
        <w:t xml:space="preserve">misura minima, fissata per il 2025 in Euro 940,02. </w:t>
      </w:r>
    </w:p>
    <w:p w14:paraId="391E7AC5" w14:textId="737716BD" w:rsidR="001F7200" w:rsidRDefault="001F7200" w:rsidP="001F7200">
      <w:pPr>
        <w:jc w:val="both"/>
      </w:pPr>
      <w:r>
        <w:t xml:space="preserve">TIM quindi abbandona definitivamente il calcolo del canone basato sulle utenze attive di rete fissa e </w:t>
      </w:r>
      <w:r w:rsidR="0029235A">
        <w:t>va a auto</w:t>
      </w:r>
      <w:r w:rsidR="007B7385">
        <w:t>-</w:t>
      </w:r>
      <w:r>
        <w:t>posiziona</w:t>
      </w:r>
      <w:r w:rsidR="00A911DD">
        <w:t>rsi</w:t>
      </w:r>
      <w:r>
        <w:t xml:space="preserve"> tra quelle società competitor sul mercato che non occupano direttamente suolo pubblico, ritenendosi </w:t>
      </w:r>
      <w:r w:rsidR="0029235A">
        <w:t xml:space="preserve">peraltro </w:t>
      </w:r>
      <w:r>
        <w:t>estrane</w:t>
      </w:r>
      <w:r w:rsidR="0029235A">
        <w:t>a</w:t>
      </w:r>
      <w:r>
        <w:t xml:space="preserve"> anche alla</w:t>
      </w:r>
      <w:r w:rsidR="00F35D8F">
        <w:t xml:space="preserve"> cosiddetta</w:t>
      </w:r>
      <w:r>
        <w:t xml:space="preserve"> soggettività passiva in via mediata.</w:t>
      </w:r>
    </w:p>
    <w:p w14:paraId="1826AB1A" w14:textId="4401324B" w:rsidR="007B7385" w:rsidRDefault="00BB5822" w:rsidP="001F7200">
      <w:pPr>
        <w:jc w:val="both"/>
      </w:pPr>
      <w:r>
        <w:t>Decide</w:t>
      </w:r>
      <w:r w:rsidR="007B7385">
        <w:t xml:space="preserve"> in ogni caso</w:t>
      </w:r>
      <w:r>
        <w:t xml:space="preserve"> di versare</w:t>
      </w:r>
      <w:r w:rsidR="007B7385">
        <w:t xml:space="preserve"> la misura minima di canone come conseguenza dell’unico caso residuo di possesso materiale di occupazione mediata del suolo pubblico derivante dal cosiddetto </w:t>
      </w:r>
      <w:proofErr w:type="spellStart"/>
      <w:r w:rsidR="007B7385" w:rsidRPr="007B7385">
        <w:rPr>
          <w:i/>
          <w:iCs/>
        </w:rPr>
        <w:t>indefeasible</w:t>
      </w:r>
      <w:proofErr w:type="spellEnd"/>
      <w:r w:rsidR="007B7385" w:rsidRPr="007B7385">
        <w:rPr>
          <w:i/>
          <w:iCs/>
        </w:rPr>
        <w:t xml:space="preserve"> </w:t>
      </w:r>
      <w:proofErr w:type="spellStart"/>
      <w:r w:rsidR="007B7385" w:rsidRPr="007B7385">
        <w:rPr>
          <w:i/>
          <w:iCs/>
        </w:rPr>
        <w:t>right</w:t>
      </w:r>
      <w:proofErr w:type="spellEnd"/>
      <w:r w:rsidR="007B7385" w:rsidRPr="007B7385">
        <w:rPr>
          <w:i/>
          <w:iCs/>
        </w:rPr>
        <w:t xml:space="preserve"> of use</w:t>
      </w:r>
      <w:r w:rsidR="007B7385" w:rsidRPr="007B7385">
        <w:t xml:space="preserve"> o IRU</w:t>
      </w:r>
      <w:r w:rsidR="007B7385">
        <w:t xml:space="preserve">, ovvero il diritto pluriennale d’uso dell’infrastruttura di rete. </w:t>
      </w:r>
    </w:p>
    <w:p w14:paraId="1CBB437E" w14:textId="0B144685" w:rsidR="0029235A" w:rsidRDefault="00BB5822" w:rsidP="00A953DE">
      <w:pPr>
        <w:jc w:val="both"/>
      </w:pPr>
      <w:r>
        <w:t>Proviamo a dare forma alla</w:t>
      </w:r>
      <w:r w:rsidR="0029235A">
        <w:t xml:space="preserve"> logica espressa da</w:t>
      </w:r>
      <w:r w:rsidR="00F74F0C">
        <w:t>lla stessa</w:t>
      </w:r>
      <w:r w:rsidR="0029235A">
        <w:t xml:space="preserve"> TIM nelle sue dichiarazioni inviate a tutti i Comuni</w:t>
      </w:r>
      <w:r w:rsidR="007B7385">
        <w:t xml:space="preserve"> nello scorso aprile</w:t>
      </w:r>
      <w:r w:rsidR="0029235A">
        <w:t xml:space="preserve">, </w:t>
      </w:r>
      <w:r>
        <w:t>andando a ri</w:t>
      </w:r>
      <w:r w:rsidR="0029235A">
        <w:t>valutare i pagament</w:t>
      </w:r>
      <w:r>
        <w:t>i dovuti</w:t>
      </w:r>
      <w:r w:rsidR="00F74F0C">
        <w:t xml:space="preserve"> per il</w:t>
      </w:r>
      <w:r w:rsidR="0029235A">
        <w:t xml:space="preserve"> periodo</w:t>
      </w:r>
      <w:r w:rsidR="007B7385">
        <w:t xml:space="preserve"> </w:t>
      </w:r>
      <w:r w:rsidR="006C7258">
        <w:t>2021</w:t>
      </w:r>
      <w:r w:rsidR="0029235A">
        <w:t xml:space="preserve"> – 2024</w:t>
      </w:r>
      <w:r w:rsidR="006C7258">
        <w:t xml:space="preserve">, </w:t>
      </w:r>
      <w:r>
        <w:t>quando</w:t>
      </w:r>
      <w:r w:rsidR="006C7258">
        <w:t xml:space="preserve"> TIM era la proprietaria della </w:t>
      </w:r>
      <w:r w:rsidR="008F7D8B">
        <w:t>rete</w:t>
      </w:r>
      <w:r w:rsidR="00F74F0C">
        <w:t>.</w:t>
      </w:r>
    </w:p>
    <w:p w14:paraId="75920AAC" w14:textId="476FA9FE" w:rsidR="0029235A" w:rsidRPr="006C7258" w:rsidRDefault="00F64CDC" w:rsidP="00A953DE">
      <w:pPr>
        <w:jc w:val="both"/>
        <w:rPr>
          <w:b/>
          <w:bCs/>
        </w:rPr>
      </w:pPr>
      <w:r>
        <w:rPr>
          <w:b/>
          <w:bCs/>
        </w:rPr>
        <w:t>Come applicare il Canone per il p</w:t>
      </w:r>
      <w:r w:rsidR="006C7258" w:rsidRPr="006C7258">
        <w:rPr>
          <w:b/>
          <w:bCs/>
        </w:rPr>
        <w:t>eriodo 2021 – 2024</w:t>
      </w:r>
    </w:p>
    <w:p w14:paraId="38B9AB8C" w14:textId="04F19AB9" w:rsidR="006C7258" w:rsidRDefault="008F7D8B" w:rsidP="00842417">
      <w:pPr>
        <w:jc w:val="both"/>
      </w:pPr>
      <w:r>
        <w:t xml:space="preserve">In questo periodo, valutata la norma di riferimento di cui all’art. 1, comma 831, della L. 27 dicembre 2019, n. 160, così come modificato dall’art. 1, comma 848, della L. 30 dicembre 2020, n. 178, e all’art. 5, comma 14-quinquies del D.L. 21 ottobre 2021, n. 146, e considerata la posizione di TIM quale concessionaria dell’occupazione di suolo pubblico per l’infrastruttura di sua proprietà, possiamo, seguendo la </w:t>
      </w:r>
      <w:r w:rsidR="00842417">
        <w:t xml:space="preserve">stessa </w:t>
      </w:r>
      <w:r>
        <w:t>logica dichiarata da TIM con la comunicazione per il 2025, ricondurre il pagamento del CUP interamente a carico della stessa società ex monopolista, valutando le altre compagnie</w:t>
      </w:r>
      <w:r w:rsidR="00842417">
        <w:t xml:space="preserve"> presenti sul mercato</w:t>
      </w:r>
      <w:r>
        <w:t xml:space="preserve">, </w:t>
      </w:r>
      <w:r w:rsidR="00842417">
        <w:t>solo come aziende</w:t>
      </w:r>
      <w:r>
        <w:t xml:space="preserve"> di telecomunicazioni che si collegano alla rete</w:t>
      </w:r>
      <w:r w:rsidR="00842417">
        <w:t xml:space="preserve"> acquistando, usando le parole di TIM, </w:t>
      </w:r>
      <w:r w:rsidR="00842417" w:rsidRPr="00842417">
        <w:rPr>
          <w:i/>
          <w:iCs/>
        </w:rPr>
        <w:t>servizi virtuali di rete che, come pacifico, non configurano alcuna occupazione,</w:t>
      </w:r>
      <w:r w:rsidR="00842417">
        <w:rPr>
          <w:i/>
          <w:iCs/>
        </w:rPr>
        <w:t xml:space="preserve"> </w:t>
      </w:r>
      <w:r w:rsidR="00842417" w:rsidRPr="00842417">
        <w:rPr>
          <w:i/>
          <w:iCs/>
        </w:rPr>
        <w:t>nemmeno mediata, del suolo pubblico</w:t>
      </w:r>
      <w:r w:rsidR="00842417">
        <w:t>.</w:t>
      </w:r>
    </w:p>
    <w:p w14:paraId="5027FFBA" w14:textId="01B0B9C1" w:rsidR="008F7D8B" w:rsidRDefault="008F7D8B" w:rsidP="008F7D8B">
      <w:pPr>
        <w:jc w:val="both"/>
      </w:pPr>
      <w:r>
        <w:t>Adottando questa linea applicativa</w:t>
      </w:r>
      <w:r w:rsidR="00B6533C">
        <w:t>,</w:t>
      </w:r>
      <w:r>
        <w:t xml:space="preserve"> che </w:t>
      </w:r>
      <w:r w:rsidR="00B6533C">
        <w:t xml:space="preserve">lo ribadiamo </w:t>
      </w:r>
      <w:r>
        <w:t xml:space="preserve">prende spunto </w:t>
      </w:r>
      <w:r w:rsidR="005D5E0A">
        <w:t>dalla stessa dichiarazione</w:t>
      </w:r>
      <w:r>
        <w:t xml:space="preserve"> di TIM, </w:t>
      </w:r>
      <w:r w:rsidR="00842417">
        <w:t>per le annualità 2021, 2022, 2023 e 2024</w:t>
      </w:r>
      <w:r w:rsidR="005D5E0A">
        <w:t>, si dovrà procedere a richiedere alla stessa società il pagamento per l</w:t>
      </w:r>
      <w:r w:rsidR="00F64CDC">
        <w:t>e</w:t>
      </w:r>
      <w:r w:rsidR="005D5E0A">
        <w:t xml:space="preserve"> quot</w:t>
      </w:r>
      <w:r w:rsidR="00F64CDC">
        <w:t>e</w:t>
      </w:r>
      <w:r w:rsidR="005D5E0A">
        <w:t xml:space="preserve"> di canone non versato </w:t>
      </w:r>
      <w:r w:rsidR="00B6533C">
        <w:t xml:space="preserve">e </w:t>
      </w:r>
      <w:r w:rsidR="005D5E0A">
        <w:t>corrispondent</w:t>
      </w:r>
      <w:r w:rsidR="00F64CDC">
        <w:t>i</w:t>
      </w:r>
      <w:r w:rsidR="005D5E0A">
        <w:t xml:space="preserve"> a</w:t>
      </w:r>
      <w:r w:rsidR="00B6533C">
        <w:t xml:space="preserve"> quella </w:t>
      </w:r>
      <w:r w:rsidR="005D5E0A">
        <w:t xml:space="preserve">fetta di mercato telefonico non raggiunta dai suoi servizi. </w:t>
      </w:r>
      <w:r w:rsidR="00F64CDC">
        <w:t>Nei primi quattro anni</w:t>
      </w:r>
      <w:r w:rsidR="005D5E0A">
        <w:t xml:space="preserve"> TIM ha provveduto </w:t>
      </w:r>
      <w:r w:rsidR="00F64CDC">
        <w:t xml:space="preserve">infatti </w:t>
      </w:r>
      <w:r w:rsidR="005D5E0A">
        <w:t xml:space="preserve">a liquidare a favore di comuni e province, il solo canone calcolato sulle proprie utenze attive al 31 dicembre, provocando </w:t>
      </w:r>
      <w:r w:rsidR="00B6533C">
        <w:t xml:space="preserve">di fatto </w:t>
      </w:r>
      <w:r w:rsidR="005D5E0A">
        <w:t xml:space="preserve">una costante </w:t>
      </w:r>
      <w:r w:rsidR="00B6533C">
        <w:t xml:space="preserve">e inesorabile </w:t>
      </w:r>
      <w:r w:rsidR="005D5E0A">
        <w:t>emorragia di gettito</w:t>
      </w:r>
      <w:r w:rsidR="00B6533C">
        <w:t>, proporzionale</w:t>
      </w:r>
      <w:r w:rsidR="005D5E0A">
        <w:t xml:space="preserve"> alla riduzione della propria quota di mercato, andata</w:t>
      </w:r>
      <w:r w:rsidR="00B6533C">
        <w:t xml:space="preserve"> via </w:t>
      </w:r>
      <w:r w:rsidR="00683F67">
        <w:t>via a</w:t>
      </w:r>
      <w:r w:rsidR="005D5E0A">
        <w:t xml:space="preserve"> favore d</w:t>
      </w:r>
      <w:r w:rsidR="00683F67">
        <w:t>elle concorrent</w:t>
      </w:r>
      <w:r w:rsidR="005D5E0A">
        <w:t xml:space="preserve">i Vodafone, WindTre, Fastweb, Tiscali, Sky Italia ed </w:t>
      </w:r>
      <w:r w:rsidR="00B6533C">
        <w:t>agli</w:t>
      </w:r>
      <w:r w:rsidR="005D5E0A">
        <w:t xml:space="preserve"> operatori </w:t>
      </w:r>
      <w:r w:rsidR="00B6533C">
        <w:t xml:space="preserve">presenti </w:t>
      </w:r>
      <w:r w:rsidR="005D5E0A">
        <w:t xml:space="preserve">sul mercato </w:t>
      </w:r>
      <w:r w:rsidR="00360FFA">
        <w:t xml:space="preserve">nazionale </w:t>
      </w:r>
      <w:r w:rsidR="005D5E0A">
        <w:t>della rete fissa e internet.</w:t>
      </w:r>
    </w:p>
    <w:p w14:paraId="0464650A" w14:textId="108038D4" w:rsidR="00A911DD" w:rsidRDefault="005D5E0A" w:rsidP="00D11A23">
      <w:pPr>
        <w:jc w:val="both"/>
      </w:pPr>
      <w:r>
        <w:t xml:space="preserve">Vediamo quindi come calcolare il Canone da recuperare per questo </w:t>
      </w:r>
      <w:r w:rsidR="00360FFA">
        <w:t>specifico periodo</w:t>
      </w:r>
      <w:r w:rsidR="009D1778">
        <w:t xml:space="preserve">, considerando </w:t>
      </w:r>
      <w:r>
        <w:t>che TIM</w:t>
      </w:r>
      <w:r w:rsidR="009D1778">
        <w:t>,</w:t>
      </w:r>
      <w:r>
        <w:t xml:space="preserve"> </w:t>
      </w:r>
      <w:r w:rsidR="009D1778">
        <w:t xml:space="preserve">come da Osservatorio delle telecomunicazioni pubblicato trimestralmente da AGCOM, </w:t>
      </w:r>
      <w:r w:rsidR="00683F67">
        <w:t>possedeva</w:t>
      </w:r>
      <w:r>
        <w:t xml:space="preserve"> </w:t>
      </w:r>
      <w:r w:rsidR="009D1778">
        <w:t>le seguenti</w:t>
      </w:r>
      <w:r>
        <w:t xml:space="preserve"> quote di mercato al 31 dicembre di ciascun anno: per il 2021 il 44,7%; per il 2022 il 43,2%; per il 2023 il 41,9%; per il 2024 il 39,7%</w:t>
      </w:r>
      <w:r w:rsidR="009D1778">
        <w:t xml:space="preserve">. Potremo pertanto </w:t>
      </w:r>
      <w:r w:rsidR="003A6DA6">
        <w:t>richiedere, a mezzo avviso di accertamento ex comma 792 L.160/2019, la differenza di canone</w:t>
      </w:r>
      <w:r w:rsidR="009D1778">
        <w:t xml:space="preserve"> non versato</w:t>
      </w:r>
      <w:r w:rsidR="003A6DA6">
        <w:t xml:space="preserve"> utile per raggiungere il 100% delle utenze attive ne</w:t>
      </w:r>
      <w:r w:rsidR="009D1778">
        <w:t xml:space="preserve">i rispettivi </w:t>
      </w:r>
      <w:r w:rsidR="003A6DA6">
        <w:t>territori di competenza</w:t>
      </w:r>
      <w:r w:rsidR="005C212A">
        <w:t xml:space="preserve"> e per ciascun anno di riferimento</w:t>
      </w:r>
      <w:r w:rsidR="006F2B8D">
        <w:t>.</w:t>
      </w:r>
      <w:r w:rsidR="005C212A">
        <w:t xml:space="preserve"> In questo modo procederemo a recuperare, ad esempio per il 2021, la quota corrispondente </w:t>
      </w:r>
      <w:proofErr w:type="gramStart"/>
      <w:r w:rsidR="005C212A">
        <w:t>al  55</w:t>
      </w:r>
      <w:proofErr w:type="gramEnd"/>
      <w:r w:rsidR="005C212A">
        <w:t>,3% rispetto al versato da parte di TIM.</w:t>
      </w:r>
    </w:p>
    <w:p w14:paraId="363986DE" w14:textId="43435B54" w:rsidR="006F2B8D" w:rsidRDefault="005C212A" w:rsidP="00D11A23">
      <w:pPr>
        <w:jc w:val="both"/>
      </w:pPr>
      <w:r>
        <w:lastRenderedPageBreak/>
        <w:t>In alternativa, ovvero s</w:t>
      </w:r>
      <w:r w:rsidR="006F2B8D">
        <w:t xml:space="preserve">e </w:t>
      </w:r>
      <w:r>
        <w:t xml:space="preserve">si ritenesse errata l’attuale interpretazione adottata da TIM, </w:t>
      </w:r>
      <w:r w:rsidR="006F2B8D">
        <w:t xml:space="preserve">si dovrebbe sconfessare il criterio </w:t>
      </w:r>
      <w:r>
        <w:t>contenuto nella</w:t>
      </w:r>
      <w:r w:rsidR="006F2B8D">
        <w:t xml:space="preserve"> dichiarazione 2025 </w:t>
      </w:r>
      <w:r w:rsidR="008336A3">
        <w:t xml:space="preserve">dando invece valore e sostanza </w:t>
      </w:r>
      <w:r w:rsidR="006F2B8D">
        <w:t xml:space="preserve">al principio della </w:t>
      </w:r>
      <w:r w:rsidR="008336A3">
        <w:t>soggettività</w:t>
      </w:r>
      <w:r w:rsidR="006F2B8D">
        <w:t xml:space="preserve"> passiva in via mediata</w:t>
      </w:r>
      <w:r w:rsidR="008336A3">
        <w:t xml:space="preserve">, </w:t>
      </w:r>
      <w:r>
        <w:t xml:space="preserve">che ricordiamo fu </w:t>
      </w:r>
      <w:r w:rsidR="008336A3">
        <w:t xml:space="preserve">voluta </w:t>
      </w:r>
      <w:r>
        <w:t xml:space="preserve">e introdotta </w:t>
      </w:r>
      <w:r w:rsidR="008336A3">
        <w:t>dal</w:t>
      </w:r>
      <w:r>
        <w:t>lo stesso</w:t>
      </w:r>
      <w:r w:rsidR="008336A3">
        <w:t xml:space="preserve"> Legislatore nella disciplina </w:t>
      </w:r>
      <w:r>
        <w:t>del comma 831</w:t>
      </w:r>
      <w:r w:rsidR="008336A3">
        <w:t xml:space="preserve">, dopo l’esperienza e </w:t>
      </w:r>
      <w:r w:rsidR="001D62FB">
        <w:t xml:space="preserve">la </w:t>
      </w:r>
      <w:r w:rsidR="008336A3">
        <w:t>giurisprudenza formatasi con i precedenti prelievi TOSAP e COSAP</w:t>
      </w:r>
      <w:r w:rsidR="006F2B8D">
        <w:t xml:space="preserve">. </w:t>
      </w:r>
      <w:r w:rsidR="008336A3">
        <w:t xml:space="preserve">Riconoscendo l’applicabilità della soggettività passiva mediata nel settore delle telecomunicazioni, caratterizzato proprio dalla condivisione delle </w:t>
      </w:r>
      <w:r w:rsidR="001D62FB">
        <w:t xml:space="preserve">moderne </w:t>
      </w:r>
      <w:r w:rsidR="008336A3">
        <w:t xml:space="preserve">reti grazie a collegamenti tecnologici, </w:t>
      </w:r>
      <w:r w:rsidR="006F2B8D">
        <w:t xml:space="preserve">il pagamento della TIM eseguito per il periodo 2021 </w:t>
      </w:r>
      <w:r w:rsidR="008336A3">
        <w:t>–</w:t>
      </w:r>
      <w:r w:rsidR="006F2B8D">
        <w:t xml:space="preserve"> 2024</w:t>
      </w:r>
      <w:r w:rsidR="008336A3">
        <w:t xml:space="preserve">, sarebbe </w:t>
      </w:r>
      <w:r w:rsidR="001D62FB">
        <w:t xml:space="preserve">valutato come </w:t>
      </w:r>
      <w:r w:rsidR="008336A3">
        <w:t xml:space="preserve">corretto </w:t>
      </w:r>
      <w:r w:rsidR="001D62FB">
        <w:t>in quanto</w:t>
      </w:r>
      <w:r w:rsidR="008336A3">
        <w:t xml:space="preserve"> calcolato sulle proprie utenze attive, mentre si dovrebbero attivare le procedure di recupero per le altre utenze attive gestite</w:t>
      </w:r>
      <w:r>
        <w:t xml:space="preserve">, rivolgendo le richieste di pagamento ai </w:t>
      </w:r>
      <w:r w:rsidR="008336A3">
        <w:t xml:space="preserve">diversi competitors presenti nel mercato che raggiungono i propri clienti finali grazie </w:t>
      </w:r>
      <w:r w:rsidR="001D62FB">
        <w:t xml:space="preserve">proprio </w:t>
      </w:r>
      <w:r w:rsidR="008336A3">
        <w:t>a collegamenti, fisici o virtuali, alla rete.</w:t>
      </w:r>
    </w:p>
    <w:p w14:paraId="67DEA0C6" w14:textId="2FA55377" w:rsidR="00252B03" w:rsidRDefault="00332A8B" w:rsidP="00252B03">
      <w:pPr>
        <w:jc w:val="both"/>
        <w:rPr>
          <w:b/>
          <w:bCs/>
        </w:rPr>
      </w:pPr>
      <w:r>
        <w:rPr>
          <w:b/>
          <w:bCs/>
        </w:rPr>
        <w:t xml:space="preserve">Come applicare il Canone </w:t>
      </w:r>
      <w:r w:rsidR="00252B03">
        <w:rPr>
          <w:b/>
          <w:bCs/>
        </w:rPr>
        <w:t xml:space="preserve">a partire dal </w:t>
      </w:r>
      <w:r w:rsidR="00252B03" w:rsidRPr="006C7258">
        <w:rPr>
          <w:b/>
          <w:bCs/>
        </w:rPr>
        <w:t>202</w:t>
      </w:r>
      <w:r w:rsidR="00252B03">
        <w:rPr>
          <w:b/>
          <w:bCs/>
        </w:rPr>
        <w:t xml:space="preserve">5 </w:t>
      </w:r>
    </w:p>
    <w:p w14:paraId="07528BE1" w14:textId="30D9F0F5" w:rsidR="000A1BB5" w:rsidRDefault="00252B03" w:rsidP="00D11A23">
      <w:pPr>
        <w:jc w:val="both"/>
      </w:pPr>
      <w:r>
        <w:t>Le riflessioni fatte per valutare il corretto pagamento del canone per il periodo 2021 – 2024, non possono stravolgersi nel calcolare il 2025, primo anno dopo la vendita della rete da parte di TIM. Dovranno certamente tenere conto del grande cambiamento che rappresenta la cessione della rete, rimanendo tuttavia coerenti con l’interpretazione della norma.</w:t>
      </w:r>
    </w:p>
    <w:p w14:paraId="6E95F25E" w14:textId="21AF60F2" w:rsidR="00252B03" w:rsidRPr="000E04B4" w:rsidRDefault="00252B03" w:rsidP="00D11A23">
      <w:pPr>
        <w:jc w:val="both"/>
      </w:pPr>
      <w:r w:rsidRPr="000E04B4">
        <w:t xml:space="preserve">In questo senso stupisce la dichiarazione di TIM. Oggi che non è più titolare dell’infrastruttura dichiara che non c’è occupazione, neppure in via mediata del suolo pubblico e che le società di vendita che utilizzano collegamenti virtuali non possono essere soggette al pagamento in base al numero delle utenze attive. </w:t>
      </w:r>
      <w:r w:rsidRPr="00BF142F">
        <w:rPr>
          <w:b/>
          <w:bCs/>
        </w:rPr>
        <w:t>Come mai questa interpretazione non è stata messa in opera nel periodo 2021 – 2024 quando era concessionaria della rete?</w:t>
      </w:r>
      <w:r w:rsidRPr="000E04B4">
        <w:t xml:space="preserve"> Se è vero che oggi TIM non deve versare in base alle utenze attive, allora nei primi 4 anni avrebbe dovuto versare per tutte le utenze attive, comprese quelle </w:t>
      </w:r>
      <w:r w:rsidR="00C14927" w:rsidRPr="000E04B4">
        <w:t>gestite dalle compagnie concorrenti che utilizzavano la rete TIM grazie ai collegamenti virtuali. Invece,</w:t>
      </w:r>
      <w:r w:rsidR="000E04B4" w:rsidRPr="000E04B4">
        <w:t xml:space="preserve"> e</w:t>
      </w:r>
      <w:r w:rsidR="00C14927" w:rsidRPr="000E04B4">
        <w:t xml:space="preserve"> i dati</w:t>
      </w:r>
      <w:r w:rsidR="000E04B4" w:rsidRPr="000E04B4">
        <w:t xml:space="preserve"> di incasso dei Comuni </w:t>
      </w:r>
      <w:r w:rsidR="00C14927" w:rsidRPr="000E04B4">
        <w:t xml:space="preserve">lo evidenziano, TIM ha versato ogni anno </w:t>
      </w:r>
      <w:r w:rsidR="000E04B4" w:rsidRPr="000E04B4">
        <w:t xml:space="preserve">solo </w:t>
      </w:r>
      <w:r w:rsidR="00C14927" w:rsidRPr="000E04B4">
        <w:t xml:space="preserve">in base alla propria quota di mercato, riversando nelle casse dei Comuni e delle </w:t>
      </w:r>
      <w:r w:rsidR="000E04B4" w:rsidRPr="000E04B4">
        <w:t>P</w:t>
      </w:r>
      <w:r w:rsidR="00C14927" w:rsidRPr="000E04B4">
        <w:t>rovince un gettito, via via sempre più ridotto.</w:t>
      </w:r>
    </w:p>
    <w:p w14:paraId="6B471FB2" w14:textId="3DC37D3F" w:rsidR="00C14927" w:rsidRDefault="00C14927" w:rsidP="00D11A23">
      <w:pPr>
        <w:jc w:val="both"/>
      </w:pPr>
      <w:r>
        <w:t>In realtà si ritiene che la corretta interpretazione della norma, comporti</w:t>
      </w:r>
      <w:r w:rsidR="00BF142F">
        <w:t>, nel solo settore della telefonia,</w:t>
      </w:r>
      <w:r>
        <w:t xml:space="preserve"> l’applicazione della soggettività passiva in via mediata, chiamando tutti gli operatori telefonici a versare il canone in base al proprio numero di utenze, o in </w:t>
      </w:r>
      <w:r w:rsidR="00BF142F">
        <w:t>subordine</w:t>
      </w:r>
      <w:r>
        <w:t xml:space="preserve">, vista la novità della vendita della rete a favore di una società che a differenza di TIM  non ha rapporto diretto con l’utenza finale, potrebbe, a partire dal 2025 e non prima, applicarsi il criterio previsto nella norma di interpretazione autentica già in uso nei settori del Gas e dell’Energia elettrica, vedendo quindi come unico soggetto passivo </w:t>
      </w:r>
      <w:r w:rsidR="00BF142F">
        <w:t>il titolare della rete (</w:t>
      </w:r>
      <w:r>
        <w:t>FiberCop</w:t>
      </w:r>
      <w:r w:rsidR="00BF142F">
        <w:t>)</w:t>
      </w:r>
      <w:r>
        <w:t xml:space="preserve"> che dovrebbe pagare il canone sulla base della somma delle utenze di tutte le società addette alla vendita.</w:t>
      </w:r>
    </w:p>
    <w:p w14:paraId="49FE4BA9" w14:textId="12410325" w:rsidR="00ED1606" w:rsidRDefault="00ED1606" w:rsidP="00D11A23">
      <w:pPr>
        <w:jc w:val="both"/>
      </w:pPr>
      <w:r>
        <w:t>Impossibile ipotizzare scenari diversi, o si applica il principio della soggettività passiva in via mediata o il criterio fissato nella norma di interpretazione autentica, nessuna altra interpretazione può essere accettata, salvo voler assecondare tentativi elusivi del canone</w:t>
      </w:r>
      <w:r w:rsidR="00303EF5">
        <w:t xml:space="preserve"> a danno degli Enti Locali</w:t>
      </w:r>
      <w:r>
        <w:t>.</w:t>
      </w:r>
    </w:p>
    <w:p w14:paraId="43E7E7C8" w14:textId="77777777" w:rsidR="00D11A23" w:rsidRDefault="00D11A23"/>
    <w:sectPr w:rsidR="00D11A2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17"/>
    <w:rsid w:val="00040C3F"/>
    <w:rsid w:val="00060149"/>
    <w:rsid w:val="00067CA6"/>
    <w:rsid w:val="000A1BB5"/>
    <w:rsid w:val="000E04B4"/>
    <w:rsid w:val="001A5D01"/>
    <w:rsid w:val="001D62FB"/>
    <w:rsid w:val="001F10BC"/>
    <w:rsid w:val="001F7200"/>
    <w:rsid w:val="002346CF"/>
    <w:rsid w:val="00252B03"/>
    <w:rsid w:val="0029235A"/>
    <w:rsid w:val="002F04BE"/>
    <w:rsid w:val="00303EF5"/>
    <w:rsid w:val="00324CB3"/>
    <w:rsid w:val="00332A8B"/>
    <w:rsid w:val="00360FFA"/>
    <w:rsid w:val="003A6DA6"/>
    <w:rsid w:val="003C3B9E"/>
    <w:rsid w:val="003D0E5C"/>
    <w:rsid w:val="003F4D56"/>
    <w:rsid w:val="00425A84"/>
    <w:rsid w:val="00436F9B"/>
    <w:rsid w:val="00451A2F"/>
    <w:rsid w:val="004A10FD"/>
    <w:rsid w:val="004C64FB"/>
    <w:rsid w:val="00576E17"/>
    <w:rsid w:val="005B214F"/>
    <w:rsid w:val="005C212A"/>
    <w:rsid w:val="005D5E0A"/>
    <w:rsid w:val="005F2F87"/>
    <w:rsid w:val="00656823"/>
    <w:rsid w:val="00683F67"/>
    <w:rsid w:val="006C7258"/>
    <w:rsid w:val="006F2B8D"/>
    <w:rsid w:val="007B1496"/>
    <w:rsid w:val="007B7385"/>
    <w:rsid w:val="007D38B2"/>
    <w:rsid w:val="008336A3"/>
    <w:rsid w:val="00842417"/>
    <w:rsid w:val="00855613"/>
    <w:rsid w:val="00895CB9"/>
    <w:rsid w:val="008E4717"/>
    <w:rsid w:val="008F7D8B"/>
    <w:rsid w:val="00973445"/>
    <w:rsid w:val="0097655D"/>
    <w:rsid w:val="009A3878"/>
    <w:rsid w:val="009D1778"/>
    <w:rsid w:val="00A06698"/>
    <w:rsid w:val="00A911DD"/>
    <w:rsid w:val="00A953DE"/>
    <w:rsid w:val="00AC5824"/>
    <w:rsid w:val="00B32729"/>
    <w:rsid w:val="00B6533C"/>
    <w:rsid w:val="00BB5822"/>
    <w:rsid w:val="00BF142F"/>
    <w:rsid w:val="00C117AF"/>
    <w:rsid w:val="00C14927"/>
    <w:rsid w:val="00C650BB"/>
    <w:rsid w:val="00D11A23"/>
    <w:rsid w:val="00D831CE"/>
    <w:rsid w:val="00ED1606"/>
    <w:rsid w:val="00EF3897"/>
    <w:rsid w:val="00F35D8F"/>
    <w:rsid w:val="00F64CDC"/>
    <w:rsid w:val="00F74F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73F8"/>
  <w15:chartTrackingRefBased/>
  <w15:docId w15:val="{4D282912-F901-48F9-A52C-13CB192F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76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76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76E1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76E1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76E1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76E1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76E1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76E1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76E1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76E1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76E1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76E1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76E1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76E1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76E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76E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76E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76E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57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76E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76E1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76E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76E1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76E17"/>
    <w:rPr>
      <w:i/>
      <w:iCs/>
      <w:color w:val="404040" w:themeColor="text1" w:themeTint="BF"/>
    </w:rPr>
  </w:style>
  <w:style w:type="paragraph" w:styleId="Paragrafoelenco">
    <w:name w:val="List Paragraph"/>
    <w:basedOn w:val="Normale"/>
    <w:uiPriority w:val="34"/>
    <w:qFormat/>
    <w:rsid w:val="00576E17"/>
    <w:pPr>
      <w:ind w:left="720"/>
      <w:contextualSpacing/>
    </w:pPr>
  </w:style>
  <w:style w:type="character" w:styleId="Enfasiintensa">
    <w:name w:val="Intense Emphasis"/>
    <w:basedOn w:val="Carpredefinitoparagrafo"/>
    <w:uiPriority w:val="21"/>
    <w:qFormat/>
    <w:rsid w:val="00576E17"/>
    <w:rPr>
      <w:i/>
      <w:iCs/>
      <w:color w:val="2F5496" w:themeColor="accent1" w:themeShade="BF"/>
    </w:rPr>
  </w:style>
  <w:style w:type="paragraph" w:styleId="Citazioneintensa">
    <w:name w:val="Intense Quote"/>
    <w:basedOn w:val="Normale"/>
    <w:next w:val="Normale"/>
    <w:link w:val="CitazioneintensaCarattere"/>
    <w:uiPriority w:val="30"/>
    <w:qFormat/>
    <w:rsid w:val="00576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76E17"/>
    <w:rPr>
      <w:i/>
      <w:iCs/>
      <w:color w:val="2F5496" w:themeColor="accent1" w:themeShade="BF"/>
    </w:rPr>
  </w:style>
  <w:style w:type="character" w:styleId="Riferimentointenso">
    <w:name w:val="Intense Reference"/>
    <w:basedOn w:val="Carpredefinitoparagrafo"/>
    <w:uiPriority w:val="32"/>
    <w:qFormat/>
    <w:rsid w:val="00576E17"/>
    <w:rPr>
      <w:b/>
      <w:bCs/>
      <w:smallCaps/>
      <w:color w:val="2F5496" w:themeColor="accent1" w:themeShade="BF"/>
      <w:spacing w:val="5"/>
    </w:rPr>
  </w:style>
  <w:style w:type="character" w:styleId="Collegamentoipertestuale">
    <w:name w:val="Hyperlink"/>
    <w:basedOn w:val="Carpredefinitoparagrafo"/>
    <w:uiPriority w:val="99"/>
    <w:unhideWhenUsed/>
    <w:rsid w:val="008F7D8B"/>
    <w:rPr>
      <w:color w:val="0563C1" w:themeColor="hyperlink"/>
      <w:u w:val="single"/>
    </w:rPr>
  </w:style>
  <w:style w:type="character" w:styleId="Menzionenonrisolta">
    <w:name w:val="Unresolved Mention"/>
    <w:basedOn w:val="Carpredefinitoparagrafo"/>
    <w:uiPriority w:val="99"/>
    <w:semiHidden/>
    <w:unhideWhenUsed/>
    <w:rsid w:val="008F7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2</Pages>
  <Words>1105</Words>
  <Characters>6303</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33</cp:revision>
  <dcterms:created xsi:type="dcterms:W3CDTF">2025-04-30T06:38:00Z</dcterms:created>
  <dcterms:modified xsi:type="dcterms:W3CDTF">2025-05-12T07:48:00Z</dcterms:modified>
</cp:coreProperties>
</file>