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E185F" w14:textId="7686AA36" w:rsidR="00060149" w:rsidRDefault="00C13308">
      <w:r>
        <w:t>Titolo: Come riconoscere un’insegna d’esercizio</w:t>
      </w:r>
      <w:r w:rsidR="00E64272">
        <w:t xml:space="preserve"> – la funzione di indicazione del luogo di attività</w:t>
      </w:r>
    </w:p>
    <w:p w14:paraId="3EA6BBA4" w14:textId="68596E15" w:rsidR="00C13308" w:rsidRDefault="00C13308" w:rsidP="007F2351">
      <w:pPr>
        <w:jc w:val="both"/>
      </w:pPr>
      <w:r>
        <w:t xml:space="preserve">Una recente sentenza di Corte di Giustizia Tributaria di secondo grado del </w:t>
      </w:r>
      <w:r w:rsidR="0069333F">
        <w:t>Piemonte, affronta</w:t>
      </w:r>
      <w:r>
        <w:t xml:space="preserve"> un tema di particolare interesse che riguarda i criteri distintivi per il riconoscimento di una “insegna d’esercizio”.</w:t>
      </w:r>
    </w:p>
    <w:p w14:paraId="685C1EA1" w14:textId="176A6F5B" w:rsidR="00C13308" w:rsidRDefault="00C13308" w:rsidP="007F2351">
      <w:pPr>
        <w:jc w:val="both"/>
      </w:pPr>
      <w:r>
        <w:t>Quante volte gli uffici si sono trovati, prima con l’Imposta Comunale sulla Pubblicità, e ora con il Canone Unico in difficoltà sul definire correttamente la natura di una diffusione pubblicitaria attratta nel presupposto applicativo</w:t>
      </w:r>
      <w:r w:rsidR="00284B44">
        <w:t>?</w:t>
      </w:r>
      <w:r>
        <w:t xml:space="preserve"> </w:t>
      </w:r>
    </w:p>
    <w:p w14:paraId="74F65D97" w14:textId="1D0041FB" w:rsidR="00C13308" w:rsidRDefault="00C13308" w:rsidP="007F2351">
      <w:pPr>
        <w:jc w:val="both"/>
      </w:pPr>
      <w:r>
        <w:t xml:space="preserve">Non sempre è facile distinguere una insegna d’esercizio da un mezzo di propaganda pubblicitaria. Vi sono casi dove il confine tra le due fattispecie è molto sottile e si rischia di </w:t>
      </w:r>
      <w:r w:rsidR="00284B44">
        <w:t>delegare</w:t>
      </w:r>
      <w:r>
        <w:t xml:space="preserve"> </w:t>
      </w:r>
      <w:r w:rsidR="00284B44">
        <w:t xml:space="preserve">la scelta </w:t>
      </w:r>
      <w:r>
        <w:t>alla sensibilità e all’interpretazione soggettiva del personale chiamato ad attribuire la classificazione del mezzo esposto.</w:t>
      </w:r>
    </w:p>
    <w:p w14:paraId="14A14759" w14:textId="3B67EEDF" w:rsidR="00C13308" w:rsidRDefault="00C13308" w:rsidP="007F2351">
      <w:pPr>
        <w:jc w:val="both"/>
      </w:pPr>
      <w:r>
        <w:t xml:space="preserve">La sentenza </w:t>
      </w:r>
      <w:r w:rsidR="00284B44">
        <w:t xml:space="preserve">della Corte Regionale del Piemonte </w:t>
      </w:r>
      <w:r>
        <w:t>tenta di spiegare quali sono i criteri che devono essere valutati per poter definire un’insegna d’esercizio.</w:t>
      </w:r>
    </w:p>
    <w:p w14:paraId="48C9F6A0" w14:textId="73569FB1" w:rsidR="007F2351" w:rsidRDefault="00C13308" w:rsidP="007F2351">
      <w:pPr>
        <w:jc w:val="both"/>
      </w:pPr>
      <w:r>
        <w:t xml:space="preserve">Ma vediamo </w:t>
      </w:r>
      <w:r w:rsidR="00284B44">
        <w:t xml:space="preserve">prima </w:t>
      </w:r>
      <w:r>
        <w:t>cosa prevede la norma</w:t>
      </w:r>
      <w:r w:rsidR="0069333F">
        <w:t>. C</w:t>
      </w:r>
      <w:r>
        <w:t>on il regime dell’ICP, il Legislator</w:t>
      </w:r>
      <w:r w:rsidR="007F2351">
        <w:t xml:space="preserve">e nel </w:t>
      </w:r>
      <w:proofErr w:type="spellStart"/>
      <w:r w:rsidR="007F2351">
        <w:t>D.Lgs</w:t>
      </w:r>
      <w:proofErr w:type="spellEnd"/>
      <w:r w:rsidR="007F2351">
        <w:t xml:space="preserve"> 507/</w:t>
      </w:r>
      <w:r w:rsidR="0069333F">
        <w:t>93, introdusse</w:t>
      </w:r>
      <w:r w:rsidR="007F2351">
        <w:t xml:space="preserve"> il comma 1 bis all’articolo 17 delle esenzioni, prevedendo: </w:t>
      </w:r>
      <w:r w:rsidR="007F2351" w:rsidRPr="007F2351">
        <w:rPr>
          <w:i/>
          <w:iCs/>
        </w:rPr>
        <w:t xml:space="preserve">“L'imposta non </w:t>
      </w:r>
      <w:proofErr w:type="spellStart"/>
      <w:proofErr w:type="gramStart"/>
      <w:r w:rsidR="007F2351" w:rsidRPr="007F2351">
        <w:rPr>
          <w:i/>
          <w:iCs/>
        </w:rPr>
        <w:t>e'</w:t>
      </w:r>
      <w:proofErr w:type="spellEnd"/>
      <w:proofErr w:type="gramEnd"/>
      <w:r w:rsidR="007F2351" w:rsidRPr="007F2351">
        <w:rPr>
          <w:i/>
          <w:iCs/>
        </w:rPr>
        <w:t xml:space="preserve"> dovuta per le insegne di esercizio di </w:t>
      </w:r>
      <w:r w:rsidR="00284B44" w:rsidRPr="007F2351">
        <w:rPr>
          <w:i/>
          <w:iCs/>
        </w:rPr>
        <w:t>attività</w:t>
      </w:r>
      <w:r w:rsidR="007F2351" w:rsidRPr="007F2351">
        <w:rPr>
          <w:i/>
          <w:iCs/>
        </w:rPr>
        <w:t xml:space="preserve"> commerciali e di produzione di beni o servizi che contraddistinguono la sede ove si svolge </w:t>
      </w:r>
      <w:r w:rsidR="00284B44" w:rsidRPr="007F2351">
        <w:rPr>
          <w:i/>
          <w:iCs/>
        </w:rPr>
        <w:t>l’attività</w:t>
      </w:r>
      <w:r w:rsidR="007F2351" w:rsidRPr="007F2351">
        <w:rPr>
          <w:i/>
          <w:iCs/>
        </w:rPr>
        <w:t xml:space="preserve"> cui si riferiscono, di superficie complessiva fino a 5 metri quadrati. I comuni, con regolamento adottato ai sensi dell'articolo 52 del decreto legislativo 15 dicembre 1997, n. 446, possono prevedere l'esenzione dal pagamento dell'imposta per le insegne di esercizio anche di superficie complessiva superiore al limite di cui al periodo precedente.”</w:t>
      </w:r>
      <w:r w:rsidR="007F2351">
        <w:rPr>
          <w:i/>
          <w:iCs/>
        </w:rPr>
        <w:t>.</w:t>
      </w:r>
      <w:r w:rsidR="007F2351">
        <w:t xml:space="preserve"> Con l’introduzione del Canone Unico, l’esenzione è stata ripresentata, inserendola </w:t>
      </w:r>
      <w:r w:rsidR="00906815">
        <w:t xml:space="preserve">tra le </w:t>
      </w:r>
      <w:r w:rsidR="007F2351">
        <w:t xml:space="preserve">fattispecie </w:t>
      </w:r>
      <w:r w:rsidR="00906815">
        <w:t xml:space="preserve">esenti elencate </w:t>
      </w:r>
      <w:r w:rsidR="007F2351">
        <w:t>nel comma 833 lettera L della Legge 160/2019</w:t>
      </w:r>
      <w:r w:rsidR="00906815">
        <w:t>,</w:t>
      </w:r>
      <w:r w:rsidR="007F2351">
        <w:t xml:space="preserve"> che </w:t>
      </w:r>
      <w:r w:rsidR="00906815">
        <w:t xml:space="preserve">testualmente </w:t>
      </w:r>
      <w:r w:rsidR="007F2351">
        <w:t>prevede</w:t>
      </w:r>
      <w:r w:rsidR="00906815">
        <w:t xml:space="preserve"> l’esenzione per</w:t>
      </w:r>
      <w:r w:rsidR="007F2351">
        <w:t xml:space="preserve">: </w:t>
      </w:r>
      <w:r w:rsidR="007F2351" w:rsidRPr="007F2351">
        <w:rPr>
          <w:i/>
          <w:iCs/>
        </w:rPr>
        <w:t>“le insegne di esercizio di attività commerciali e di produzione di beni o servizi che contraddistinguono la sede ove si svolge l’attività cui si riferiscono, di superficie c</w:t>
      </w:r>
      <w:r w:rsidR="007F2351" w:rsidRPr="007F2351">
        <w:rPr>
          <w:rFonts w:ascii="AsterStcc-Tondo" w:hAnsi="AsterStcc-Tondo" w:cs="AsterStcc-Tondo"/>
          <w:i/>
          <w:iCs/>
          <w:kern w:val="0"/>
          <w:sz w:val="20"/>
          <w:szCs w:val="20"/>
        </w:rPr>
        <w:t>omplessiva fino a 5 metri quadrati;”</w:t>
      </w:r>
      <w:r w:rsidR="007F2351">
        <w:rPr>
          <w:i/>
          <w:iCs/>
        </w:rPr>
        <w:t xml:space="preserve">. </w:t>
      </w:r>
      <w:r w:rsidR="007F2351" w:rsidRPr="007F2351">
        <w:t xml:space="preserve">Viene </w:t>
      </w:r>
      <w:r w:rsidR="00906815">
        <w:t xml:space="preserve">così </w:t>
      </w:r>
      <w:r w:rsidR="007F2351" w:rsidRPr="007F2351">
        <w:t>ripresa la stessa</w:t>
      </w:r>
      <w:r w:rsidR="00906815">
        <w:t xml:space="preserve"> identica </w:t>
      </w:r>
      <w:r w:rsidR="007F2351" w:rsidRPr="007F2351">
        <w:t xml:space="preserve">esenzione </w:t>
      </w:r>
      <w:r w:rsidR="00906815">
        <w:t>conferendo</w:t>
      </w:r>
      <w:r w:rsidR="007F2351" w:rsidRPr="007F2351">
        <w:t xml:space="preserve"> continuità operativa alla fattispecie e alla </w:t>
      </w:r>
      <w:r w:rsidR="00906815">
        <w:t xml:space="preserve">conseguente </w:t>
      </w:r>
      <w:r w:rsidR="007F2351" w:rsidRPr="007F2351">
        <w:t>gestione dell’entrata.</w:t>
      </w:r>
    </w:p>
    <w:p w14:paraId="20B2B1A9" w14:textId="1E887ADA" w:rsidR="007F2351" w:rsidRPr="007F2351" w:rsidRDefault="007F2351" w:rsidP="007F2351">
      <w:pPr>
        <w:jc w:val="both"/>
      </w:pPr>
      <w:r>
        <w:t xml:space="preserve">Quanto scritto e previsto </w:t>
      </w:r>
      <w:r w:rsidR="003726F0">
        <w:t>in questi anni</w:t>
      </w:r>
      <w:r>
        <w:t xml:space="preserve"> in tema di Insegne d’esercizio</w:t>
      </w:r>
      <w:r w:rsidR="00906815">
        <w:t xml:space="preserve">, trova </w:t>
      </w:r>
      <w:r>
        <w:t xml:space="preserve">applicazione per entrambi i regimi, </w:t>
      </w:r>
      <w:r w:rsidR="00906815">
        <w:t xml:space="preserve">in egual misura. Sia per </w:t>
      </w:r>
      <w:r w:rsidR="003726F0">
        <w:t>l’ambito tributario</w:t>
      </w:r>
      <w:r>
        <w:t xml:space="preserve"> </w:t>
      </w:r>
      <w:r w:rsidR="00906815">
        <w:t>dell’</w:t>
      </w:r>
      <w:r>
        <w:t>ICP</w:t>
      </w:r>
      <w:r w:rsidR="00906815">
        <w:t>, sia per quello</w:t>
      </w:r>
      <w:r w:rsidR="003726F0">
        <w:t xml:space="preserve"> </w:t>
      </w:r>
      <w:r>
        <w:t>patrimoniale del Canone Unico.</w:t>
      </w:r>
    </w:p>
    <w:p w14:paraId="345E69FA" w14:textId="3FA103BB" w:rsidR="007F2351" w:rsidRDefault="007F2351" w:rsidP="007F2351">
      <w:pPr>
        <w:jc w:val="both"/>
        <w:rPr>
          <w:i/>
          <w:iCs/>
        </w:rPr>
      </w:pPr>
      <w:r>
        <w:t>In base al comma 6 dell'art. 2-bis della legge n. 75 del 2002, si definiva "insegna di esercizio" la scritta di cui all'art. 47 del Regolamento di esecuzione e di attuazione del nuovo codice della strada, approvato con del D.P.R. 16 dicembre 1992, n. 495, vale a dire "</w:t>
      </w:r>
      <w:r w:rsidRPr="007F2351">
        <w:rPr>
          <w:i/>
          <w:iCs/>
        </w:rPr>
        <w:t>la scritta in caratteri alfanumerici, completata eventualmente da simboli o da marchi, realizzata e supportata con materiali di qualsiasi natura, installata nella sede dell'attività a cui si riferisce o nelle pertinenze accessorie alla stessa. Può essere luminosa sia per luce propria che per luce indiretta”.</w:t>
      </w:r>
      <w:r>
        <w:rPr>
          <w:i/>
          <w:iCs/>
        </w:rPr>
        <w:t xml:space="preserve"> </w:t>
      </w:r>
      <w:r>
        <w:t>Veniva precisato ulteriormente che detta scritta deve avere "</w:t>
      </w:r>
      <w:r w:rsidRPr="007F2351">
        <w:rPr>
          <w:i/>
          <w:iCs/>
        </w:rPr>
        <w:t>la funzione di indicare al pubblico il luogo di svolgimento dell'attività economica".</w:t>
      </w:r>
    </w:p>
    <w:p w14:paraId="6E3C1CDB" w14:textId="77777777" w:rsidR="00284B44" w:rsidRPr="00284B44" w:rsidRDefault="00284B44" w:rsidP="00284B44">
      <w:pPr>
        <w:jc w:val="both"/>
      </w:pPr>
      <w:r w:rsidRPr="00284B44">
        <w:t xml:space="preserve">Il concetto di </w:t>
      </w:r>
      <w:r w:rsidRPr="00E64272">
        <w:t>funzione dedicata all’indicazione al pubblico del luogo di svolgimento dell’attività</w:t>
      </w:r>
      <w:r w:rsidRPr="00284B44">
        <w:t xml:space="preserve"> tipico delle insegne d’esercizio fu già chiarito con la circolare del Ministero delle Finanze n.3/DPF del 3 maggio 2002 quando affrontò la tematica in ordine alle attività economiche svolte in franchising. </w:t>
      </w:r>
    </w:p>
    <w:p w14:paraId="1E15C0B4" w14:textId="14D5E38D" w:rsidR="007F2351" w:rsidRDefault="003726F0" w:rsidP="00AD5DCB">
      <w:pPr>
        <w:jc w:val="both"/>
        <w:rPr>
          <w:i/>
          <w:iCs/>
        </w:rPr>
      </w:pPr>
      <w:r>
        <w:t>Ecco, q</w:t>
      </w:r>
      <w:r w:rsidR="00284B44">
        <w:t>uesto rappresenta</w:t>
      </w:r>
      <w:r w:rsidR="007F2351">
        <w:t xml:space="preserve"> </w:t>
      </w:r>
      <w:r w:rsidR="00AD5DCB">
        <w:t xml:space="preserve">senza dubbio </w:t>
      </w:r>
      <w:r w:rsidR="00906815">
        <w:t>l’</w:t>
      </w:r>
      <w:r w:rsidR="007F2351">
        <w:t xml:space="preserve">elemento </w:t>
      </w:r>
      <w:r w:rsidR="00AD5DCB">
        <w:t xml:space="preserve">dirimente per definire </w:t>
      </w:r>
      <w:r w:rsidR="00284B44">
        <w:t xml:space="preserve">il confine tra </w:t>
      </w:r>
      <w:r w:rsidR="00AD5DCB">
        <w:t xml:space="preserve">un mezzo pubblicitario </w:t>
      </w:r>
      <w:r w:rsidR="00284B44">
        <w:t>e una</w:t>
      </w:r>
      <w:r w:rsidR="00AD5DCB">
        <w:t xml:space="preserve"> insegna d’esercizio. È la stessa Corte Regionale del Piemonte a spiegarlo bene nella sentenza n. 178 del 24 aprile 2023, quando </w:t>
      </w:r>
      <w:r>
        <w:t>scrive</w:t>
      </w:r>
      <w:r w:rsidR="00AD5DCB">
        <w:t xml:space="preserve">: </w:t>
      </w:r>
      <w:r w:rsidR="00AD5DCB" w:rsidRPr="00AD5DCB">
        <w:rPr>
          <w:i/>
          <w:iCs/>
        </w:rPr>
        <w:t>“Lo scopo dell’insegna di esercizio, invece, è solo quello di segnalare il luogo ove si esercita l’attività di impresa, con una funzione non propagandistica ma di mera indicazione stradale e di dislocazione locale.”</w:t>
      </w:r>
    </w:p>
    <w:p w14:paraId="32C8E23F" w14:textId="77777777" w:rsidR="003726F0" w:rsidRDefault="00AD5DCB" w:rsidP="00AD5DCB">
      <w:pPr>
        <w:jc w:val="both"/>
      </w:pPr>
      <w:r w:rsidRPr="00AD5DCB">
        <w:t xml:space="preserve">Secondo i giudici tributari </w:t>
      </w:r>
      <w:r>
        <w:t>non è possibile</w:t>
      </w:r>
      <w:r w:rsidR="00284B44">
        <w:t>,</w:t>
      </w:r>
      <w:r>
        <w:t xml:space="preserve"> </w:t>
      </w:r>
      <w:r w:rsidR="00284B44">
        <w:t xml:space="preserve">di contro, </w:t>
      </w:r>
      <w:r>
        <w:t xml:space="preserve">riconoscere carattere di "insegna di esercizio" al materiale pubblicitario che viene esposto quando si tratta di mezzi di comunicazione con il pubblico obiettivamente idonei a far conoscere indiscriminatamente alla massa indeterminata di possibili acquirenti o utenti il nome, </w:t>
      </w:r>
      <w:r>
        <w:lastRenderedPageBreak/>
        <w:t>l'attività della impresa e, come tale, assoggettata a tassazione. I mezzi pubblicitari diversi dalle insegne d’esercizio, costituiscono un messaggio pubblicitario rivolto ai potenziali consumatori e volto ad esaltare il prodotto, invogliando la domanda e, quindi, a reclamizzare l'attività e/o a farne conoscere la natura, la qualità o anche l'esistenza.</w:t>
      </w:r>
      <w:r w:rsidR="003726F0">
        <w:t xml:space="preserve"> </w:t>
      </w:r>
    </w:p>
    <w:p w14:paraId="36C83963" w14:textId="5F9C5EBB" w:rsidR="00AD5DCB" w:rsidRDefault="003726F0" w:rsidP="00AD5DCB">
      <w:pPr>
        <w:jc w:val="both"/>
        <w:rPr>
          <w:i/>
          <w:iCs/>
        </w:rPr>
      </w:pPr>
      <w:r>
        <w:t>Per una giusta valutazione dei mezzi con finalità squisitamente pubblicitarie, richiamiamo la definizione di pubblicità contenute nella direttiva CEE n. 84/450 del 1984, seconda la quale deve considerarsi propaganda pubblicitaria:</w:t>
      </w:r>
      <w:r w:rsidRPr="003726F0">
        <w:rPr>
          <w:i/>
          <w:iCs/>
        </w:rPr>
        <w:t xml:space="preserve"> “</w:t>
      </w:r>
      <w:r w:rsidRPr="003726F0">
        <w:rPr>
          <w:i/>
          <w:iCs/>
        </w:rPr>
        <w:t>Qualsiasi forma di messaggio che sia diffuso, in qualsiasi modo, nell’esercizio di un’attività commerciale, industriale, artigianale o professionale allo scopo di promuovere la vendita di beni mobili o immobili, la costituzione o il trasferimento di diritto ed obblighi su di essi oppure la prestazione di opere e servizi</w:t>
      </w:r>
      <w:r w:rsidRPr="003726F0">
        <w:rPr>
          <w:i/>
          <w:iCs/>
        </w:rPr>
        <w:t>”</w:t>
      </w:r>
      <w:r>
        <w:rPr>
          <w:i/>
          <w:iCs/>
        </w:rPr>
        <w:t>.</w:t>
      </w:r>
    </w:p>
    <w:p w14:paraId="30C1DDA9" w14:textId="2EAD8138" w:rsidR="003726F0" w:rsidRPr="003726F0" w:rsidRDefault="003726F0" w:rsidP="00AD5DCB">
      <w:pPr>
        <w:jc w:val="both"/>
      </w:pPr>
      <w:r>
        <w:t xml:space="preserve">Anche la Corte di Cassazione a più riprese ha individuato ciò che rappresenta un messaggio pubblicitario, come nella sentenza n. 8220 del 22.07.1993, nella quale si legge: </w:t>
      </w:r>
      <w:r w:rsidRPr="003726F0">
        <w:rPr>
          <w:i/>
          <w:iCs/>
        </w:rPr>
        <w:t>“</w:t>
      </w:r>
      <w:r w:rsidRPr="003726F0">
        <w:rPr>
          <w:i/>
          <w:iCs/>
        </w:rPr>
        <w:t>qualsiasi mezzo di comunicazione con il pubblico, il quale risulti, indipendentemente dalla ragione e finalità della sua adozione, oggettivamente idoneo a far conoscere indiscriminatamente alla massa indeterminata di possibili acquirenti ed utenti il nome o il prodotto dell’azienda</w:t>
      </w:r>
      <w:r w:rsidRPr="003726F0">
        <w:rPr>
          <w:i/>
          <w:iCs/>
        </w:rPr>
        <w:t>”</w:t>
      </w:r>
    </w:p>
    <w:p w14:paraId="2DA73D1E" w14:textId="086255C7" w:rsidR="00AD5DCB" w:rsidRDefault="00AD5DCB" w:rsidP="00AD5DCB">
      <w:pPr>
        <w:jc w:val="both"/>
      </w:pPr>
      <w:r>
        <w:t>L</w:t>
      </w:r>
      <w:r w:rsidRPr="00AD5DCB">
        <w:t xml:space="preserve">a linea di confine tra «messaggio pubblicitario» e semplice «insegna di esercizio» </w:t>
      </w:r>
      <w:r w:rsidR="00284B44">
        <w:t xml:space="preserve">pertanto </w:t>
      </w:r>
      <w:r w:rsidR="00906815">
        <w:t xml:space="preserve">viene </w:t>
      </w:r>
      <w:r w:rsidR="00296014">
        <w:t xml:space="preserve">individuata </w:t>
      </w:r>
      <w:r w:rsidR="00296014" w:rsidRPr="00AD5DCB">
        <w:t>proprio</w:t>
      </w:r>
      <w:r w:rsidR="00284B44">
        <w:t xml:space="preserve"> </w:t>
      </w:r>
      <w:r w:rsidRPr="00AD5DCB">
        <w:t>nel fatto che la seconda si limita a segnalare la presenza nei pressi dell’esercizio commerciale</w:t>
      </w:r>
      <w:r w:rsidR="00906815">
        <w:t>,</w:t>
      </w:r>
      <w:r w:rsidRPr="00AD5DCB">
        <w:t xml:space="preserve"> mentre il messaggio pubblicitario è rivolto ai potenziali consumatori ed è rivolto ad esaltare il prodotto e quindi ad invogliare la domanda. </w:t>
      </w:r>
    </w:p>
    <w:p w14:paraId="14E15DFC" w14:textId="601CFE96" w:rsidR="003726F0" w:rsidRDefault="003726F0" w:rsidP="00AD5DCB">
      <w:pPr>
        <w:jc w:val="both"/>
      </w:pPr>
      <w:r>
        <w:t xml:space="preserve">Per una formazione di livello 1, ovvero livello base, basta </w:t>
      </w:r>
      <w:r w:rsidR="00296014">
        <w:t>questo elemento</w:t>
      </w:r>
      <w:r>
        <w:t xml:space="preserve"> che identifica la funzione del mezzo per capire se si tratta di un mezzo pubblicitario o di una insegna d’esercizio.</w:t>
      </w:r>
    </w:p>
    <w:p w14:paraId="4B8B7E4F" w14:textId="77777777" w:rsidR="00296014" w:rsidRDefault="003726F0" w:rsidP="00AD5DCB">
      <w:pPr>
        <w:jc w:val="both"/>
      </w:pPr>
      <w:r>
        <w:t>Volendo invece, fare un passo avanti e passare al livello 2</w:t>
      </w:r>
      <w:r w:rsidR="00296014">
        <w:t>, occorre valutare anche quelle situazioni dove possiamo riscontrare entrambe le fattispecie. Casi dove viene riportato il nome o il logo dell’azienda, ma vengono inseriti anche messaggi pubblicitari o marchi di prodotti.</w:t>
      </w:r>
    </w:p>
    <w:p w14:paraId="5CAE22AB" w14:textId="09FE5E3E" w:rsidR="003726F0" w:rsidRDefault="00296014" w:rsidP="00AD5DCB">
      <w:pPr>
        <w:jc w:val="both"/>
      </w:pPr>
      <w:r>
        <w:t xml:space="preserve">È in questi casi dove si registrano maggiori difficoltà di interpretazione. Dobbiamo infatti capire se ci troviamo di fronte ad una insegna d’esercizio mista, ovvero un insegna che ha la funzione </w:t>
      </w:r>
      <w:proofErr w:type="gramStart"/>
      <w:r>
        <w:t>di  individuare</w:t>
      </w:r>
      <w:proofErr w:type="gramEnd"/>
      <w:r>
        <w:t xml:space="preserve"> l’attività e che riporta al suo interno un logo o un messaggio pubblicitario, o viceversa ci troviamo davanti ad un mezzo pubblicitario che riporta anche il marchio o il nome della azienda.</w:t>
      </w:r>
    </w:p>
    <w:p w14:paraId="7C4920C1" w14:textId="35B02C87" w:rsidR="00296014" w:rsidRDefault="00296014" w:rsidP="009D5B00">
      <w:pPr>
        <w:jc w:val="both"/>
        <w:rPr>
          <w:i/>
          <w:iCs/>
        </w:rPr>
      </w:pPr>
      <w:r>
        <w:t xml:space="preserve">Nel primo caso, così come ben spiegato anche dal MEF nella circolare n. 3 del 3 maggio </w:t>
      </w:r>
      <w:proofErr w:type="gramStart"/>
      <w:r>
        <w:t>2002</w:t>
      </w:r>
      <w:r w:rsidR="009D5B00">
        <w:t xml:space="preserve">, </w:t>
      </w:r>
      <w:r w:rsidR="009D5B00">
        <w:t xml:space="preserve"> la</w:t>
      </w:r>
      <w:proofErr w:type="gramEnd"/>
      <w:r w:rsidR="009D5B00">
        <w:t xml:space="preserve"> presenza, nell'ambito</w:t>
      </w:r>
      <w:r w:rsidR="009D5B00">
        <w:t xml:space="preserve"> </w:t>
      </w:r>
      <w:r w:rsidR="009D5B00">
        <w:t>dello stesso mezzo pubblicitario, delle indicazioni</w:t>
      </w:r>
      <w:r w:rsidR="009D5B00">
        <w:t xml:space="preserve"> </w:t>
      </w:r>
      <w:r w:rsidR="009D5B00">
        <w:t>relative al marchio del prodotto venduto, non fa in</w:t>
      </w:r>
      <w:r w:rsidR="009D5B00">
        <w:t xml:space="preserve"> </w:t>
      </w:r>
      <w:r w:rsidR="009D5B00">
        <w:t>alcun modo venire meno la natura di insegna di</w:t>
      </w:r>
      <w:r w:rsidR="009D5B00">
        <w:t xml:space="preserve"> </w:t>
      </w:r>
      <w:r w:rsidR="009D5B00">
        <w:t>esercizio</w:t>
      </w:r>
      <w:r w:rsidR="009D5B00">
        <w:t xml:space="preserve">. Nella circolare infatti si precisa come è insegna d’esercizio anche quando il mezzo </w:t>
      </w:r>
      <w:r w:rsidR="00140EB7">
        <w:t>riporta</w:t>
      </w:r>
      <w:r w:rsidR="00140EB7" w:rsidRPr="009D5B00">
        <w:rPr>
          <w:i/>
          <w:iCs/>
        </w:rPr>
        <w:t>: “</w:t>
      </w:r>
      <w:r w:rsidR="009D5B00" w:rsidRPr="009D5B00">
        <w:rPr>
          <w:i/>
          <w:iCs/>
        </w:rPr>
        <w:t>4) l'indicazione, precisa o generica, della tipologia</w:t>
      </w:r>
      <w:r w:rsidR="009D5B00" w:rsidRPr="009D5B00">
        <w:rPr>
          <w:i/>
          <w:iCs/>
        </w:rPr>
        <w:t xml:space="preserve"> </w:t>
      </w:r>
      <w:r w:rsidR="009D5B00" w:rsidRPr="009D5B00">
        <w:rPr>
          <w:i/>
          <w:iCs/>
        </w:rPr>
        <w:t>dell'esercizio commerciale accompagnata nel</w:t>
      </w:r>
      <w:r w:rsidR="009D5B00" w:rsidRPr="009D5B00">
        <w:rPr>
          <w:i/>
          <w:iCs/>
        </w:rPr>
        <w:t xml:space="preserve"> </w:t>
      </w:r>
      <w:r w:rsidR="009D5B00" w:rsidRPr="009D5B00">
        <w:rPr>
          <w:i/>
          <w:iCs/>
        </w:rPr>
        <w:t>contesto dello stesso mezzo pubblicitario, da</w:t>
      </w:r>
      <w:r w:rsidR="009D5B00" w:rsidRPr="009D5B00">
        <w:rPr>
          <w:i/>
          <w:iCs/>
        </w:rPr>
        <w:t xml:space="preserve"> </w:t>
      </w:r>
      <w:r w:rsidR="009D5B00" w:rsidRPr="009D5B00">
        <w:rPr>
          <w:i/>
          <w:iCs/>
        </w:rPr>
        <w:t>simboli o marchi relativi a prodotti in vendita (ad</w:t>
      </w:r>
      <w:r w:rsidR="009D5B00" w:rsidRPr="009D5B00">
        <w:rPr>
          <w:i/>
          <w:iCs/>
        </w:rPr>
        <w:t xml:space="preserve"> </w:t>
      </w:r>
      <w:r w:rsidR="009D5B00" w:rsidRPr="009D5B00">
        <w:rPr>
          <w:i/>
          <w:iCs/>
        </w:rPr>
        <w:t>esempio: "Bar Alfa-Caffè Beta");</w:t>
      </w:r>
      <w:r w:rsidR="009D5B00" w:rsidRPr="009D5B00">
        <w:rPr>
          <w:i/>
          <w:iCs/>
        </w:rPr>
        <w:t>”</w:t>
      </w:r>
      <w:r w:rsidR="009D5B00">
        <w:rPr>
          <w:i/>
          <w:iCs/>
        </w:rPr>
        <w:t>.</w:t>
      </w:r>
    </w:p>
    <w:p w14:paraId="6B012142" w14:textId="7D8D4E29" w:rsidR="003312C7" w:rsidRDefault="009D5B00" w:rsidP="009D5B00">
      <w:pPr>
        <w:jc w:val="both"/>
      </w:pPr>
      <w:r>
        <w:t>Attenzione che questa situazione</w:t>
      </w:r>
      <w:r w:rsidR="00713367">
        <w:t>, richiamata dal MEF nella circolare,</w:t>
      </w:r>
      <w:r>
        <w:t xml:space="preserve"> non può aprire a situazioni diverse, </w:t>
      </w:r>
      <w:r w:rsidR="003312C7">
        <w:t>come ad esempio quando</w:t>
      </w:r>
      <w:r>
        <w:t xml:space="preserve"> si riscontrano dei mezzi pubblicitari di propaganda che al loro interno contengono il logo o il nome dell’</w:t>
      </w:r>
      <w:r w:rsidR="003312C7">
        <w:t>attività</w:t>
      </w:r>
      <w:r>
        <w:t xml:space="preserve">. Questi sono e rimangono mezzi pubblicitari, con finalità e funzione di tipo propagandistica </w:t>
      </w:r>
      <w:r w:rsidR="003312C7">
        <w:t xml:space="preserve">e che non possono </w:t>
      </w:r>
      <w:r w:rsidR="00713367">
        <w:t>essere</w:t>
      </w:r>
      <w:r w:rsidR="003312C7">
        <w:t xml:space="preserve"> ricondotti nell’alveo delle insegne d’esercizio, mancando la chiara </w:t>
      </w:r>
      <w:r w:rsidR="003312C7" w:rsidRPr="003312C7">
        <w:t>funzione dedicata all’indicazione al pubblico del luogo di svolgimento dell’attività</w:t>
      </w:r>
      <w:r w:rsidR="003312C7">
        <w:t>.</w:t>
      </w:r>
    </w:p>
    <w:p w14:paraId="364CE3D1" w14:textId="14673584" w:rsidR="009D5B00" w:rsidRDefault="003312C7" w:rsidP="009D5B00">
      <w:pPr>
        <w:jc w:val="both"/>
      </w:pPr>
      <w:r>
        <w:t xml:space="preserve">Su questo terreno oggettivamente si rischia di scivolare. In vista delle nostre vie, piazze e strade si affacciano attività di ogni genere, dalla piccola attività al dettaglio, al grande magazzino, al capannone artigianale o industriale. Ogni situazione presente caratteristiche uniche e </w:t>
      </w:r>
      <w:r w:rsidR="00140EB7">
        <w:t>variegate, impossibile creare una griglia di ipotesi in cui circoscrivere tutte le possibili soluzioni. Tuttavia possiamo darci delle regole da seguire ogni volta che ci troviamo di fronte ad un mezzo pubblicitario</w:t>
      </w:r>
      <w:r w:rsidR="00CF35FB">
        <w:t xml:space="preserve">, la prima delle quali è capire la funzione per la quale è </w:t>
      </w:r>
      <w:r w:rsidR="00CF35FB">
        <w:lastRenderedPageBreak/>
        <w:t>stato esposto</w:t>
      </w:r>
      <w:r w:rsidR="00713367">
        <w:t>.</w:t>
      </w:r>
      <w:r w:rsidR="00CF35FB">
        <w:t xml:space="preserve"> </w:t>
      </w:r>
      <w:r w:rsidR="00713367">
        <w:t>D</w:t>
      </w:r>
      <w:r w:rsidR="00CF35FB">
        <w:t xml:space="preserve">eve individuarsi la oggettiva volontà di diffondere un messaggio pubblicitario o viceversa di indicare il luogo di esercizio dell’attività, questo anche per i mezzi cosiddetti misti. Seguendo questa impostazione tenderemo ad esempio ad escludere sempre dal novero delle insegne d’esercizio, tutta la pubblicità esposta sulle vetrine, con locandine, porta manifesti, cartelli o schermi come i </w:t>
      </w:r>
      <w:proofErr w:type="spellStart"/>
      <w:r w:rsidR="00CF35FB">
        <w:t>digital</w:t>
      </w:r>
      <w:proofErr w:type="spellEnd"/>
      <w:r w:rsidR="00CF35FB">
        <w:t xml:space="preserve"> </w:t>
      </w:r>
      <w:proofErr w:type="spellStart"/>
      <w:r w:rsidR="00CF35FB">
        <w:t>signage</w:t>
      </w:r>
      <w:proofErr w:type="spellEnd"/>
      <w:r w:rsidR="00CF35FB">
        <w:t xml:space="preserve"> che pubblicizzano i prodotti o i servizi in vendita presso l’attività</w:t>
      </w:r>
      <w:r w:rsidR="00713367">
        <w:t>.</w:t>
      </w:r>
      <w:r w:rsidR="00CF35FB">
        <w:t xml:space="preserve"> </w:t>
      </w:r>
      <w:r w:rsidR="00713367">
        <w:t>A</w:t>
      </w:r>
      <w:r w:rsidR="00CF35FB">
        <w:t xml:space="preserve">nche </w:t>
      </w:r>
      <w:r w:rsidR="00713367">
        <w:t>qualora questi mezzi</w:t>
      </w:r>
      <w:r w:rsidR="00CF35FB">
        <w:t xml:space="preserve"> riport</w:t>
      </w:r>
      <w:r w:rsidR="00713367">
        <w:t>ino</w:t>
      </w:r>
      <w:r w:rsidR="00CF35FB">
        <w:t xml:space="preserve"> il nome o il logo </w:t>
      </w:r>
      <w:r w:rsidR="00713367">
        <w:t>dell’attività, non</w:t>
      </w:r>
      <w:r w:rsidR="00CF35FB">
        <w:t xml:space="preserve"> </w:t>
      </w:r>
      <w:r w:rsidR="00713367">
        <w:t>acquisiscono</w:t>
      </w:r>
      <w:r w:rsidR="00CF35FB">
        <w:t xml:space="preserve"> </w:t>
      </w:r>
      <w:r w:rsidR="00713367">
        <w:t xml:space="preserve">automaticamente </w:t>
      </w:r>
      <w:r w:rsidR="00CF35FB">
        <w:t>la funzione di identificare il luogo di esercizio,</w:t>
      </w:r>
      <w:r w:rsidR="00713367">
        <w:t xml:space="preserve"> probabilmente</w:t>
      </w:r>
      <w:r w:rsidR="00E64272">
        <w:t xml:space="preserve"> già</w:t>
      </w:r>
      <w:r w:rsidR="00713367">
        <w:t xml:space="preserve"> esercitata da distinti </w:t>
      </w:r>
      <w:proofErr w:type="gramStart"/>
      <w:r w:rsidR="00713367">
        <w:t xml:space="preserve">impianti, </w:t>
      </w:r>
      <w:r w:rsidR="00CF35FB">
        <w:t xml:space="preserve"> bensì</w:t>
      </w:r>
      <w:proofErr w:type="gramEnd"/>
      <w:r w:rsidR="00CF35FB">
        <w:t xml:space="preserve"> </w:t>
      </w:r>
      <w:r w:rsidR="00E64272">
        <w:t>assumo la funzione</w:t>
      </w:r>
      <w:r w:rsidR="00CF35FB">
        <w:t xml:space="preserve"> di promuovere la vendita di un prodotto</w:t>
      </w:r>
      <w:r w:rsidR="00E64272">
        <w:t>, e come tale dovranno essere considerati mezzi pubblicitari a cui non riconoscere l’esenzione disposta per le Insegne d’esercizio.</w:t>
      </w:r>
    </w:p>
    <w:p w14:paraId="0ABFF4DA" w14:textId="77777777" w:rsidR="00E64272" w:rsidRPr="003312C7" w:rsidRDefault="00E64272" w:rsidP="009D5B00">
      <w:pPr>
        <w:jc w:val="both"/>
      </w:pPr>
    </w:p>
    <w:p w14:paraId="38686123" w14:textId="77777777" w:rsidR="007F2351" w:rsidRDefault="007F2351"/>
    <w:sectPr w:rsidR="007F235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sterStcc-Tondo">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415"/>
    <w:rsid w:val="00060149"/>
    <w:rsid w:val="00140EB7"/>
    <w:rsid w:val="00284B44"/>
    <w:rsid w:val="00296014"/>
    <w:rsid w:val="003312C7"/>
    <w:rsid w:val="003726F0"/>
    <w:rsid w:val="00397415"/>
    <w:rsid w:val="0069333F"/>
    <w:rsid w:val="00713367"/>
    <w:rsid w:val="007F2351"/>
    <w:rsid w:val="00906815"/>
    <w:rsid w:val="009D5B00"/>
    <w:rsid w:val="00AD5DCB"/>
    <w:rsid w:val="00C13308"/>
    <w:rsid w:val="00CF35FB"/>
    <w:rsid w:val="00E42ACD"/>
    <w:rsid w:val="00E6427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1986"/>
  <w15:chartTrackingRefBased/>
  <w15:docId w15:val="{3D2D6E21-E84D-474B-807D-1D24E6D4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033529">
      <w:bodyDiv w:val="1"/>
      <w:marLeft w:val="0"/>
      <w:marRight w:val="0"/>
      <w:marTop w:val="0"/>
      <w:marBottom w:val="0"/>
      <w:divBdr>
        <w:top w:val="none" w:sz="0" w:space="0" w:color="auto"/>
        <w:left w:val="none" w:sz="0" w:space="0" w:color="auto"/>
        <w:bottom w:val="none" w:sz="0" w:space="0" w:color="auto"/>
        <w:right w:val="none" w:sz="0" w:space="0" w:color="auto"/>
      </w:divBdr>
      <w:divsChild>
        <w:div w:id="1795561274">
          <w:marLeft w:val="475"/>
          <w:marRight w:val="0"/>
          <w:marTop w:val="98"/>
          <w:marBottom w:val="0"/>
          <w:divBdr>
            <w:top w:val="none" w:sz="0" w:space="0" w:color="auto"/>
            <w:left w:val="none" w:sz="0" w:space="0" w:color="auto"/>
            <w:bottom w:val="none" w:sz="0" w:space="0" w:color="auto"/>
            <w:right w:val="none" w:sz="0" w:space="0" w:color="auto"/>
          </w:divBdr>
        </w:div>
      </w:divsChild>
    </w:div>
    <w:div w:id="528224186">
      <w:bodyDiv w:val="1"/>
      <w:marLeft w:val="0"/>
      <w:marRight w:val="0"/>
      <w:marTop w:val="0"/>
      <w:marBottom w:val="0"/>
      <w:divBdr>
        <w:top w:val="none" w:sz="0" w:space="0" w:color="auto"/>
        <w:left w:val="none" w:sz="0" w:space="0" w:color="auto"/>
        <w:bottom w:val="none" w:sz="0" w:space="0" w:color="auto"/>
        <w:right w:val="none" w:sz="0" w:space="0" w:color="auto"/>
      </w:divBdr>
    </w:div>
    <w:div w:id="619603799">
      <w:bodyDiv w:val="1"/>
      <w:marLeft w:val="0"/>
      <w:marRight w:val="0"/>
      <w:marTop w:val="0"/>
      <w:marBottom w:val="0"/>
      <w:divBdr>
        <w:top w:val="none" w:sz="0" w:space="0" w:color="auto"/>
        <w:left w:val="none" w:sz="0" w:space="0" w:color="auto"/>
        <w:bottom w:val="none" w:sz="0" w:space="0" w:color="auto"/>
        <w:right w:val="none" w:sz="0" w:space="0" w:color="auto"/>
      </w:divBdr>
    </w:div>
    <w:div w:id="925724141">
      <w:bodyDiv w:val="1"/>
      <w:marLeft w:val="0"/>
      <w:marRight w:val="0"/>
      <w:marTop w:val="0"/>
      <w:marBottom w:val="0"/>
      <w:divBdr>
        <w:top w:val="none" w:sz="0" w:space="0" w:color="auto"/>
        <w:left w:val="none" w:sz="0" w:space="0" w:color="auto"/>
        <w:bottom w:val="none" w:sz="0" w:space="0" w:color="auto"/>
        <w:right w:val="none" w:sz="0" w:space="0" w:color="auto"/>
      </w:divBdr>
    </w:div>
    <w:div w:id="182959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3</Pages>
  <Words>1419</Words>
  <Characters>8091</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cp:revision>
  <dcterms:created xsi:type="dcterms:W3CDTF">2023-08-21T07:27:00Z</dcterms:created>
  <dcterms:modified xsi:type="dcterms:W3CDTF">2023-08-22T09:50:00Z</dcterms:modified>
</cp:coreProperties>
</file>