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60E34" w14:textId="15D4CA50" w:rsidR="00060149" w:rsidRDefault="0036414B">
      <w:r>
        <w:t>Titolo: le condutture idriche per terreni agricoli</w:t>
      </w:r>
      <w:r w:rsidR="00864AD4">
        <w:t xml:space="preserve"> – l’esenzione CUP che non viene dal passato</w:t>
      </w:r>
    </w:p>
    <w:p w14:paraId="30E365A7" w14:textId="77777777" w:rsidR="0036414B" w:rsidRDefault="0036414B" w:rsidP="0036414B">
      <w:pPr>
        <w:jc w:val="both"/>
      </w:pPr>
      <w:r>
        <w:t>Le condutture idriche per attività agricole sono sistemi utilizzati per il trasporto dell'acqua necessaria all'irrigazione dei terreni coltivati. Questi sistemi possono variare in base alle dimensioni dell'area da irrigare, alla topografia del terreno e alle risorse idriche disponibili. Comunemente vengono utilizzate in agricoltura diverse tipologie di conduttore. Quelle costituite da canali aperti, ovvero canali a cielo aperto, solitamente costruiti con terra o cemento, che permettono il flusso dell'acqua lungo i campi, alimentati da sorgenti naturali, fiumi o serbatoi d'acqua. Oppure quelle realizzate con tubazioni in PVC o polietilene, utilizzate per il trasporto dell'acqua in modo più controllato e diretto. Possono essere anche interrate per evitare perdite di acqua per evaporazione o infiltrazione nel terreno. Esistono poi condutture realizzate con tubazioni in gomma o plastica flessibile, utilizzate per l'irrigazione di terreni più piccoli o per distribuire l'acqua in modo più preciso in determinate zone.</w:t>
      </w:r>
    </w:p>
    <w:p w14:paraId="1EBF8B84" w14:textId="4758990B" w:rsidR="0036414B" w:rsidRDefault="0036414B" w:rsidP="0036414B">
      <w:pPr>
        <w:jc w:val="both"/>
      </w:pPr>
      <w:r>
        <w:t xml:space="preserve">Quando queste condutture vengono realizzate </w:t>
      </w:r>
      <w:r w:rsidR="003F3BA6">
        <w:t xml:space="preserve">da privati </w:t>
      </w:r>
      <w:r>
        <w:t>su terreno demaniale o appartenente al patrimonio indisponibile degli enti, rientrano nel perimetro applicativo del Canone Unico Patrimoniale, allo stesso modo in cui prima rientravano in quello dei precedenti prelievi TOSAP o COSAP.</w:t>
      </w:r>
    </w:p>
    <w:p w14:paraId="0F73AB1F" w14:textId="48233902" w:rsidR="0036414B" w:rsidRDefault="0036414B" w:rsidP="0036414B">
      <w:pPr>
        <w:jc w:val="both"/>
      </w:pPr>
      <w:r>
        <w:t>Una particolare fattispecie che dunque da sempre deve essere considerata nella gestione dell’entrata dedicata alle occupazioni di suolo pubblico.</w:t>
      </w:r>
    </w:p>
    <w:p w14:paraId="3558043F" w14:textId="2F32E61C" w:rsidR="0036414B" w:rsidRPr="00864AD4" w:rsidRDefault="0036414B" w:rsidP="0036414B">
      <w:pPr>
        <w:jc w:val="both"/>
        <w:rPr>
          <w:b/>
          <w:bCs/>
          <w:i/>
          <w:iCs/>
        </w:rPr>
      </w:pPr>
      <w:r>
        <w:t xml:space="preserve">Con l’odierno </w:t>
      </w:r>
      <w:r>
        <w:t>regime CUP</w:t>
      </w:r>
      <w:r>
        <w:t xml:space="preserve">, </w:t>
      </w:r>
      <w:r w:rsidR="00864AD4">
        <w:t xml:space="preserve">tuttavia </w:t>
      </w:r>
      <w:r>
        <w:t xml:space="preserve">queste </w:t>
      </w:r>
      <w:r>
        <w:t>diverse</w:t>
      </w:r>
      <w:r>
        <w:t xml:space="preserve"> forme di conduzione dell’acqua necessaria per irrigare i campi e terreni dedicat</w:t>
      </w:r>
      <w:r w:rsidR="00864AD4">
        <w:t>i</w:t>
      </w:r>
      <w:r>
        <w:t xml:space="preserve"> all’agricoltura</w:t>
      </w:r>
      <w:r>
        <w:t>,</w:t>
      </w:r>
      <w:r>
        <w:t xml:space="preserve"> godono dell’esenzione, </w:t>
      </w:r>
      <w:r>
        <w:t xml:space="preserve">così come </w:t>
      </w:r>
      <w:r>
        <w:t>dispost</w:t>
      </w:r>
      <w:r>
        <w:t>o</w:t>
      </w:r>
      <w:r>
        <w:t xml:space="preserve"> al comma 833 lettera f): </w:t>
      </w:r>
      <w:r w:rsidRPr="00864AD4">
        <w:rPr>
          <w:b/>
          <w:bCs/>
          <w:i/>
          <w:iCs/>
        </w:rPr>
        <w:t>“833. Sono esenti dal canone</w:t>
      </w:r>
      <w:r w:rsidRPr="00864AD4">
        <w:rPr>
          <w:b/>
          <w:bCs/>
          <w:i/>
          <w:iCs/>
        </w:rPr>
        <w:t xml:space="preserve">:… f) </w:t>
      </w:r>
      <w:r w:rsidRPr="00864AD4">
        <w:rPr>
          <w:b/>
          <w:bCs/>
          <w:i/>
          <w:iCs/>
        </w:rPr>
        <w:t>le occupazioni con condutture idriche utilizzate per l'attività agricola”.</w:t>
      </w:r>
    </w:p>
    <w:p w14:paraId="0CA7AEB2" w14:textId="7A8C0735" w:rsidR="0036414B" w:rsidRPr="00864AD4" w:rsidRDefault="0036414B" w:rsidP="0036414B">
      <w:pPr>
        <w:jc w:val="both"/>
        <w:rPr>
          <w:b/>
          <w:bCs/>
        </w:rPr>
      </w:pPr>
      <w:r>
        <w:t xml:space="preserve">La disposizione inserita nel comma dedicato alle esenzioni disposte per Legge, rappresenta una novità nell’ambito dei prelievi dedicati alle occupazioni di suolo pubblico. Non si rinviene infatti un </w:t>
      </w:r>
      <w:r>
        <w:t xml:space="preserve">analogo </w:t>
      </w:r>
      <w:r>
        <w:t xml:space="preserve">riscontro con quanto era disposto con il precedente prelievo TOSAP. </w:t>
      </w:r>
      <w:r w:rsidRPr="00864AD4">
        <w:rPr>
          <w:b/>
          <w:bCs/>
        </w:rPr>
        <w:t xml:space="preserve">L’ipotesi di esenzione in parola </w:t>
      </w:r>
      <w:r w:rsidR="003F3BA6">
        <w:rPr>
          <w:b/>
          <w:bCs/>
        </w:rPr>
        <w:t>rappresenta</w:t>
      </w:r>
      <w:r w:rsidRPr="00864AD4">
        <w:rPr>
          <w:b/>
          <w:bCs/>
        </w:rPr>
        <w:t xml:space="preserve"> </w:t>
      </w:r>
      <w:r w:rsidRPr="00864AD4">
        <w:rPr>
          <w:b/>
          <w:bCs/>
        </w:rPr>
        <w:t xml:space="preserve">così </w:t>
      </w:r>
      <w:r w:rsidRPr="00864AD4">
        <w:rPr>
          <w:b/>
          <w:bCs/>
        </w:rPr>
        <w:t xml:space="preserve">un raro caso di nuova esenzione che non deriva da un copia e incolla con quanto </w:t>
      </w:r>
      <w:r w:rsidRPr="00864AD4">
        <w:rPr>
          <w:b/>
          <w:bCs/>
        </w:rPr>
        <w:t xml:space="preserve">già </w:t>
      </w:r>
      <w:r w:rsidRPr="00864AD4">
        <w:rPr>
          <w:b/>
          <w:bCs/>
        </w:rPr>
        <w:t>contenuto nell’articolo 49 del D.Lgs 507/93</w:t>
      </w:r>
      <w:r w:rsidRPr="00864AD4">
        <w:rPr>
          <w:b/>
          <w:bCs/>
        </w:rPr>
        <w:t>.</w:t>
      </w:r>
    </w:p>
    <w:p w14:paraId="17E592EC" w14:textId="0AB06405" w:rsidR="0036414B" w:rsidRDefault="0036414B" w:rsidP="0036414B">
      <w:pPr>
        <w:jc w:val="both"/>
      </w:pPr>
      <w:r>
        <w:t>In realtà, anche in regime Tosap, il Legislatore fece un intervento su questo argomento, con le modifiche apportate dalla Legge 549 del 1995, venne infatti concessa ai Comuni la possibilità di disporre l’esenzione per le condutture idriche realizzate per l’attività agricola nei comuni classificati montani. Il mancato esercizio delle predette facoltà significava, tuttavia, il mantenimento della situazione di tassabilità per le fattispecie in questione. In ogni caso la facoltà di esonerare la fattispecie era legata ai soli comuni classificati montani</w:t>
      </w:r>
      <w:r w:rsidR="00864AD4">
        <w:t xml:space="preserve">, individuati secondo quanto </w:t>
      </w:r>
      <w:r>
        <w:t>definito nell</w:t>
      </w:r>
      <w:r w:rsidR="00864AD4">
        <w:t>’articolo 1 della</w:t>
      </w:r>
      <w:r>
        <w:t xml:space="preserve"> </w:t>
      </w:r>
      <w:r w:rsidR="00864AD4">
        <w:t>L</w:t>
      </w:r>
      <w:r>
        <w:t>egge 25 luglio 1952, n. 991</w:t>
      </w:r>
      <w:r w:rsidR="00864AD4">
        <w:t>.</w:t>
      </w:r>
    </w:p>
    <w:p w14:paraId="5D421A4F" w14:textId="77777777" w:rsidR="0036414B" w:rsidRDefault="0036414B" w:rsidP="0036414B">
      <w:pPr>
        <w:jc w:val="both"/>
      </w:pPr>
      <w:r>
        <w:t>La previsione di esenzione era contenuta nell'articolo 3, commi da 59 a 67, della legge n. 549 del 28 dicembre 1995 che introdusse in materia di tassa per l'occupazione di spazi ed aree pubbliche, alcune importanti novità nell'impianto normativo costruito dal decreto legislativo 15 novembre 1993 n.507 e successive modificazioni.</w:t>
      </w:r>
    </w:p>
    <w:p w14:paraId="4BF839D7" w14:textId="6310D9D8" w:rsidR="0036414B" w:rsidRDefault="0036414B" w:rsidP="0036414B">
      <w:pPr>
        <w:jc w:val="both"/>
      </w:pPr>
      <w:r>
        <w:t xml:space="preserve">Tali novità si concretizzarono sostanzialmente in una serie di interventi intesi, da un lato, a migliorare i criteri di determinazione della tassa, con l'introduzione di automatismi applicativi e forme agevolate di prelievo, dall'altro, ad ampliare, in misura ancora più significativa rispetto a quanto contenuto nel sopracitato decreto legislativo n.507/93, il grado di autonomia impositiva degli Enti locali, con la previsione, a favore degli stessi, di facoltà esercitabili in relazione alla tassabilità o meno di talune particolari fattispecie impositive e alla quantificazione delle tariffe. Tra queste appunto quelle riguardanti </w:t>
      </w:r>
      <w:r w:rsidRPr="0036414B">
        <w:rPr>
          <w:b/>
          <w:bCs/>
        </w:rPr>
        <w:t xml:space="preserve">le condutture idriche destinate ad irrigare i terreni agricoli </w:t>
      </w:r>
      <w:r w:rsidRPr="0036414B">
        <w:rPr>
          <w:b/>
          <w:bCs/>
        </w:rPr>
        <w:t xml:space="preserve">dei comuni montani </w:t>
      </w:r>
      <w:r w:rsidRPr="0036414B">
        <w:rPr>
          <w:b/>
          <w:bCs/>
        </w:rPr>
        <w:t>contenuta nel comma 63 dell’articolo 3 della Legge 549/95.</w:t>
      </w:r>
    </w:p>
    <w:p w14:paraId="0CCFD196" w14:textId="7626F343" w:rsidR="0036414B" w:rsidRDefault="0036414B" w:rsidP="0036414B">
      <w:pPr>
        <w:jc w:val="both"/>
      </w:pPr>
      <w:r>
        <w:t xml:space="preserve">L’attuale agevolazione disposta dal Legislatore alla lettera F del comma 833 </w:t>
      </w:r>
      <w:r>
        <w:t xml:space="preserve">ha </w:t>
      </w:r>
      <w:r>
        <w:t>invece una portata generale, senza vincoli speciali di conduzione del terreno agricolo</w:t>
      </w:r>
      <w:r>
        <w:t xml:space="preserve">, e  </w:t>
      </w:r>
      <w:r>
        <w:t>andando ad interessate tutti i Comuni del territorio nazionale, non solo quelli montani come prevedeva il precedente regime.</w:t>
      </w:r>
    </w:p>
    <w:p w14:paraId="158CEB09" w14:textId="1D996382" w:rsidR="0036414B" w:rsidRDefault="0036414B" w:rsidP="0036414B">
      <w:pPr>
        <w:jc w:val="both"/>
      </w:pPr>
      <w:r>
        <w:t xml:space="preserve">A partire quindi dal 2021, </w:t>
      </w:r>
      <w:r>
        <w:t xml:space="preserve"> l</w:t>
      </w:r>
      <w:r>
        <w:t xml:space="preserve">a nuova </w:t>
      </w:r>
      <w:r>
        <w:t xml:space="preserve">agevolazione </w:t>
      </w:r>
      <w:r>
        <w:t>andrà</w:t>
      </w:r>
      <w:r>
        <w:t xml:space="preserve"> riconosciuta sempre, tutte le volte che l’occupazione viene realizzata con una conduttura idrica a favore di un terreno agricolo. Non </w:t>
      </w:r>
      <w:r w:rsidR="00864AD4">
        <w:t>verrà</w:t>
      </w:r>
      <w:r>
        <w:t xml:space="preserve"> richiesto un requisito soggettivo</w:t>
      </w:r>
      <w:r w:rsidR="00864AD4">
        <w:t>,</w:t>
      </w:r>
      <w:r>
        <w:t xml:space="preserve"> da </w:t>
      </w:r>
      <w:r w:rsidR="00864AD4">
        <w:t>individuare</w:t>
      </w:r>
      <w:r>
        <w:t xml:space="preserve"> nel </w:t>
      </w:r>
      <w:r w:rsidR="00864AD4">
        <w:t>in chi</w:t>
      </w:r>
      <w:r>
        <w:t xml:space="preserve"> conduce il fondo agricolo, che potrà essere </w:t>
      </w:r>
      <w:r w:rsidR="00864AD4">
        <w:t xml:space="preserve">pertanto </w:t>
      </w:r>
      <w:r>
        <w:t xml:space="preserve">sia un’impresa o imprenditore agricolo, </w:t>
      </w:r>
      <w:r w:rsidR="00864AD4">
        <w:t>o</w:t>
      </w:r>
      <w:r>
        <w:t xml:space="preserve"> un coltivatore diretto</w:t>
      </w:r>
      <w:r w:rsidR="00864AD4">
        <w:t>, ne verrà richiesta la caratteristica di comune montano come territorio  interessato alla particolare occupazione.</w:t>
      </w:r>
    </w:p>
    <w:p w14:paraId="19D84686" w14:textId="276E8F2B" w:rsidR="00864AD4" w:rsidRDefault="00864AD4" w:rsidP="0036414B">
      <w:pPr>
        <w:jc w:val="both"/>
      </w:pPr>
      <w:r>
        <w:t xml:space="preserve">Le condutture idriche realizzate da privati </w:t>
      </w:r>
      <w:r w:rsidR="008F62AB">
        <w:t>su suolo pubblico atte a</w:t>
      </w:r>
      <w:r>
        <w:t xml:space="preserve"> consentire </w:t>
      </w:r>
      <w:r w:rsidR="008F62AB">
        <w:t>l’irrigazione di terreni agricoli, saranno pertanto da considerare sempre esenti dal Canone Unico. Gli uffici dei comuni dovranno pertanto rivedere la propria banca dati importata da Tosap o Cosap, per capire se esistevano posizioni con i precedenti regimi che scontavano il pagamento per l’occupazione del suolo pubblico riferita a queste occupazioni.</w:t>
      </w:r>
    </w:p>
    <w:sectPr w:rsidR="00864AD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88"/>
    <w:rsid w:val="00060149"/>
    <w:rsid w:val="0036414B"/>
    <w:rsid w:val="003F3BA6"/>
    <w:rsid w:val="007B5F88"/>
    <w:rsid w:val="00864AD4"/>
    <w:rsid w:val="008F62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8345"/>
  <w15:chartTrackingRefBased/>
  <w15:docId w15:val="{CD023170-4D3B-4402-8C1E-595C92D5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791</Words>
  <Characters>4515</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2023-06-22T10:05:00Z</dcterms:created>
  <dcterms:modified xsi:type="dcterms:W3CDTF">2023-06-22T10:30:00Z</dcterms:modified>
</cp:coreProperties>
</file>