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A4B6E" w14:textId="3937E857" w:rsidR="00D96CA5" w:rsidRDefault="00E615AC">
      <w:r>
        <w:t>Titolo: la dichiarazione ai fini pubblicitari. Differenze tra ICP e CUP</w:t>
      </w:r>
    </w:p>
    <w:p w14:paraId="1229AE31" w14:textId="75897E53" w:rsidR="00E615AC" w:rsidRDefault="00E615AC"/>
    <w:p w14:paraId="24AAE98C" w14:textId="77777777" w:rsidR="00E615AC" w:rsidRDefault="00E615AC">
      <w:r>
        <w:t>Capita spesso di vedere ancora in uso vecchie abitudini e prassi legate alla disciplina dell’Imposta Comunale sulla Pubblicità, eppure da due anni è stata abrogata e sostituita da diversa entrata patrimoniale denominata Canone Unico.</w:t>
      </w:r>
    </w:p>
    <w:p w14:paraId="5A878966" w14:textId="77777777" w:rsidR="0007517B" w:rsidRDefault="00E615AC">
      <w:r>
        <w:t xml:space="preserve">Il comma 816 della Legge 160/2019 </w:t>
      </w:r>
      <w:r w:rsidR="0007517B">
        <w:t>ha previsto l’istituzione da parte di comuni, province e città metropolitane, del nuovo canone in sostituzione dei precedenti prelievi che disciplinavano il prelievo sulle iniziative pubblicitarie e sulle occupazioni di suolo pubblico.</w:t>
      </w:r>
    </w:p>
    <w:p w14:paraId="36C02187" w14:textId="216B7CE6" w:rsidR="00E615AC" w:rsidRDefault="0007517B">
      <w:r>
        <w:t>La nuova entrata affonda pesantemente le radici nelle diverse discipline che l’hanno preceduto, ma rimane una entrata diversa, con specifica disciplina, in parte dettata dal Legislatore e in parte demandata ai Regolamenti comunali dei singoli enti territoriali. Per questo non è più possibile pensare di  traslare automaticamente le disposizioni conosciute ed applicate in materia di ICP oppure di TOSAP o COSAP.</w:t>
      </w:r>
    </w:p>
    <w:p w14:paraId="23469EBD" w14:textId="1347E998" w:rsidR="0007517B" w:rsidRDefault="0007517B">
      <w:r w:rsidRPr="0007517B">
        <w:t>Lo stesso Legislatore nel</w:t>
      </w:r>
      <w:r>
        <w:t xml:space="preserve"> definire </w:t>
      </w:r>
      <w:r w:rsidRPr="0007517B">
        <w:t xml:space="preserve">la disciplina della nuova entrata ha scelto di riscrivere tutta una serie di </w:t>
      </w:r>
      <w:r>
        <w:t xml:space="preserve">disposizioni volte ad individuare le fattispecie imponibili, i criteri di calcolo, le ipotesi di </w:t>
      </w:r>
      <w:r w:rsidRPr="0007517B">
        <w:t>esenzion</w:t>
      </w:r>
      <w:r>
        <w:t xml:space="preserve">e, ecc.. </w:t>
      </w:r>
      <w:r w:rsidR="00121AA0">
        <w:t xml:space="preserve">Disposizioni </w:t>
      </w:r>
      <w:r w:rsidRPr="0007517B">
        <w:t>certamente ispirate dai precedenti prelievi</w:t>
      </w:r>
      <w:r w:rsidR="00121AA0">
        <w:t xml:space="preserve">, ma che sono state riscritte, scegliendo di non </w:t>
      </w:r>
      <w:r w:rsidRPr="0007517B">
        <w:t>limita</w:t>
      </w:r>
      <w:r w:rsidR="00121AA0">
        <w:t>rsi</w:t>
      </w:r>
      <w:r w:rsidRPr="0007517B">
        <w:t xml:space="preserve"> a richiamare le stesse ipotesi già disposte con i precedenti prelievi, </w:t>
      </w:r>
      <w:r w:rsidR="00121AA0">
        <w:t>ma, come detto, ridisegnare tutta l’infrastruttura</w:t>
      </w:r>
    </w:p>
    <w:sectPr w:rsidR="000751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53"/>
    <w:rsid w:val="0007517B"/>
    <w:rsid w:val="00121AA0"/>
    <w:rsid w:val="00D96CA5"/>
    <w:rsid w:val="00E615AC"/>
    <w:rsid w:val="00FC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C101D"/>
  <w15:chartTrackingRefBased/>
  <w15:docId w15:val="{B17FF80D-02DA-4645-939D-42B84F83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2022-12-22T11:51:00Z</dcterms:created>
  <dcterms:modified xsi:type="dcterms:W3CDTF">2022-12-22T12:25:00Z</dcterms:modified>
</cp:coreProperties>
</file>