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7187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ai sensi dell’art. 1, comma 161, della legge n.296 del 2006, gli avvisi di accertamento in rettifica e d’ufficio</w:t>
      </w:r>
    </w:p>
    <w:p w14:paraId="43092E18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devono essere notificati, a pena decadenza, entro il 31 dicembre del quinto anno successivo a quello in cui</w:t>
      </w:r>
    </w:p>
    <w:p w14:paraId="523A37D8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 dichiarazione o il versamento sono stati o avrebbero dovuto essere effettuati</w:t>
      </w:r>
      <w:r>
        <w:rPr>
          <w:rFonts w:ascii="Calibri,Bold" w:hAnsi="Calibri,Bold" w:cs="Calibri,Bold"/>
          <w:b/>
          <w:bCs/>
        </w:rPr>
        <w:t xml:space="preserve">, </w:t>
      </w:r>
      <w:r>
        <w:rPr>
          <w:rFonts w:ascii="Calibri" w:hAnsi="Calibri" w:cs="Calibri"/>
        </w:rPr>
        <w:t>quindi nel caso di specie</w:t>
      </w:r>
    </w:p>
    <w:p w14:paraId="1E7D2D3E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31/12/2021;</w:t>
      </w:r>
    </w:p>
    <w:p w14:paraId="433D59D9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-Le Sezioni Unite di Cassazione, in continuità con l’orientamento costantemente seguito dalla giurisprudenza</w:t>
      </w:r>
    </w:p>
    <w:p w14:paraId="23ACA7C2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di legittimità anche a sezioni semplici, hanno statuito con recente sentenza n. 40543/2021 l’applicabilità del</w:t>
      </w:r>
    </w:p>
    <w:p w14:paraId="31AC93B8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principio della scissione soggettiva degli effetti della notificazione anche agli atti impositivi, a ciò non ostando</w:t>
      </w:r>
    </w:p>
    <w:p w14:paraId="44ABD64E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la loro particolare natura (cfr. doc. 5). Orientamento pacifico e recentemente confermato dalla Cassazione</w:t>
      </w:r>
    </w:p>
    <w:p w14:paraId="0F494DB9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Civ</w:t>
      </w:r>
      <w:proofErr w:type="spellEnd"/>
      <w:r>
        <w:rPr>
          <w:rFonts w:ascii="Calibri" w:hAnsi="Calibri" w:cs="Calibri"/>
        </w:rPr>
        <w:t>., sentenza n. 21810/2022 pubblicata in data 11/07/2022.</w:t>
      </w:r>
    </w:p>
    <w:p w14:paraId="0A376E74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Ne consegue che ai fini del rispetto del termine di decadenza per il notificante Comune rileva che l’atto,</w:t>
      </w:r>
    </w:p>
    <w:p w14:paraId="0B950D1E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adottato in data 22/12/2021, è stato consegnato all’agente notificatore in data 29/12/2021 (cfr. doc. 6),</w:t>
      </w:r>
    </w:p>
    <w:p w14:paraId="7024FB7B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dunque entro il termine ordinario di accertamento dell’imposta municipale unica per l’anno 2016;</w:t>
      </w:r>
    </w:p>
    <w:p w14:paraId="55D097BE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-ad ogni modo, anche a volere forzatamente disattendere l’orientamento pacifico delle Sezioni Unite di</w:t>
      </w:r>
    </w:p>
    <w:p w14:paraId="3E5A29D1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Cassazione succitato, come ben noto, il termine di decadenza per l’accertamento delle entrate, tra le altre,</w:t>
      </w:r>
    </w:p>
    <w:p w14:paraId="24030FF1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tributarie, è stato </w:t>
      </w:r>
      <w:r>
        <w:rPr>
          <w:rFonts w:ascii="Calibri,Bold" w:hAnsi="Calibri,Bold" w:cs="Calibri,Bold"/>
          <w:b/>
          <w:bCs/>
        </w:rPr>
        <w:t xml:space="preserve">spostato in avanti di giorni 85 </w:t>
      </w:r>
      <w:r>
        <w:rPr>
          <w:rFonts w:ascii="Calibri" w:hAnsi="Calibri" w:cs="Calibri"/>
        </w:rPr>
        <w:t>dalla decretazione d’urgenza emanata a favore degli enti</w:t>
      </w:r>
    </w:p>
    <w:p w14:paraId="2487624D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impositori tra cui sono ricompresi anche gli enti locali così come ampiamente ribadito dai documenti di prassi,</w:t>
      </w:r>
    </w:p>
    <w:p w14:paraId="78D2DDF7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con la conseguenza che il termine ultimo per la notifica degli avvisi di accertamento IMU anno 2016 (di regola</w:t>
      </w:r>
    </w:p>
    <w:p w14:paraId="4C9A3D33" w14:textId="77777777" w:rsidR="0080331F" w:rsidRDefault="0080331F" w:rsidP="0080331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31/12/2021) è stato dagli organi competenti individuato nel giorno </w:t>
      </w:r>
      <w:r>
        <w:rPr>
          <w:rFonts w:ascii="Calibri,Bold" w:hAnsi="Calibri,Bold" w:cs="Calibri,Bold"/>
          <w:b/>
          <w:bCs/>
        </w:rPr>
        <w:t xml:space="preserve">26/03/2022 </w:t>
      </w:r>
      <w:r>
        <w:rPr>
          <w:rFonts w:ascii="Calibri" w:hAnsi="Calibri" w:cs="Calibri"/>
        </w:rPr>
        <w:t>(da ultimo proprio su questo</w:t>
      </w:r>
    </w:p>
    <w:p w14:paraId="302E7424" w14:textId="37F51394" w:rsidR="008F3B99" w:rsidRDefault="0080331F" w:rsidP="0080331F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aspetto si veda la sentenza </w:t>
      </w:r>
      <w:r>
        <w:rPr>
          <w:rFonts w:ascii="Calibri,Bold" w:hAnsi="Calibri,Bold" w:cs="Calibri,Bold"/>
          <w:b/>
          <w:bCs/>
        </w:rPr>
        <w:t xml:space="preserve">Comm. </w:t>
      </w:r>
      <w:proofErr w:type="spellStart"/>
      <w:r>
        <w:rPr>
          <w:rFonts w:ascii="Calibri,Bold" w:hAnsi="Calibri,Bold" w:cs="Calibri,Bold"/>
          <w:b/>
          <w:bCs/>
        </w:rPr>
        <w:t>Trib</w:t>
      </w:r>
      <w:proofErr w:type="spellEnd"/>
      <w:r>
        <w:rPr>
          <w:rFonts w:ascii="Calibri,Bold" w:hAnsi="Calibri,Bold" w:cs="Calibri,Bold"/>
          <w:b/>
          <w:bCs/>
        </w:rPr>
        <w:t>. Prov. di Pisa, n. 242/2022</w:t>
      </w:r>
      <w:r>
        <w:rPr>
          <w:rFonts w:ascii="Calibri" w:hAnsi="Calibri" w:cs="Calibri"/>
        </w:rPr>
        <w:t>)</w:t>
      </w:r>
    </w:p>
    <w:p w14:paraId="4FFCEB88" w14:textId="77777777" w:rsidR="0080331F" w:rsidRDefault="0080331F" w:rsidP="0080331F"/>
    <w:sectPr w:rsidR="008033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9C"/>
    <w:rsid w:val="002A509C"/>
    <w:rsid w:val="0080331F"/>
    <w:rsid w:val="008F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86A5D"/>
  <w15:chartTrackingRefBased/>
  <w15:docId w15:val="{7CF74D9E-0052-49AA-837A-48C6106F5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2022-09-01T09:07:00Z</dcterms:created>
  <dcterms:modified xsi:type="dcterms:W3CDTF">2022-09-01T09:08:00Z</dcterms:modified>
</cp:coreProperties>
</file>