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67C02" w14:textId="64FE4750" w:rsidR="00060149" w:rsidRDefault="003956DC">
      <w:r>
        <w:t xml:space="preserve">Titolo: </w:t>
      </w:r>
      <w:r w:rsidR="004275E0" w:rsidRPr="004275E0">
        <w:t>gli scavi per la manutenzione delle reti pagano CUP</w:t>
      </w:r>
    </w:p>
    <w:p w14:paraId="7D95446D" w14:textId="3D065B39" w:rsidR="003956DC" w:rsidRDefault="003956DC">
      <w:r>
        <w:t>Di Alessandro Merciari</w:t>
      </w:r>
    </w:p>
    <w:p w14:paraId="1CCC4BFA" w14:textId="77777777" w:rsidR="003956DC" w:rsidRDefault="003956DC"/>
    <w:p w14:paraId="10D0BE30" w14:textId="21A49757" w:rsidR="004275E0" w:rsidRDefault="007840E9" w:rsidP="003956DC">
      <w:pPr>
        <w:jc w:val="both"/>
      </w:pPr>
      <w:r>
        <w:t>La</w:t>
      </w:r>
      <w:r w:rsidR="004275E0">
        <w:t xml:space="preserve"> pubblicazione di una</w:t>
      </w:r>
      <w:r w:rsidR="003956DC">
        <w:t xml:space="preserve"> sentenza del Tribunale di </w:t>
      </w:r>
      <w:r w:rsidR="004275E0">
        <w:t>Prato è l’occasione per tornare su un argomento sempre poco chiaro a chi è chiamato a gestire il prelievo per le occupazioni di suolo pubblico quando realizzate da aziende specializzate nella manutenzione e posa di infrastrutture dedicate all’erogazione dei servizi di rete.</w:t>
      </w:r>
    </w:p>
    <w:p w14:paraId="33451BE7" w14:textId="75FEAAD9" w:rsidR="004275E0" w:rsidRDefault="004275E0" w:rsidP="004275E0">
      <w:pPr>
        <w:jc w:val="both"/>
      </w:pPr>
      <w:r>
        <w:t>Una particolare tipologia di occupazione che</w:t>
      </w:r>
      <w:r w:rsidRPr="004275E0">
        <w:t xml:space="preserve"> ha registrato in questi anni un notevole sviluppo</w:t>
      </w:r>
      <w:r>
        <w:t>. S</w:t>
      </w:r>
      <w:r w:rsidRPr="004275E0">
        <w:t xml:space="preserve">ono nati </w:t>
      </w:r>
      <w:r w:rsidR="007840E9">
        <w:t xml:space="preserve">infatti </w:t>
      </w:r>
      <w:r w:rsidRPr="004275E0">
        <w:t>cantieri su tutto il territorio nazionale soprattutto nell’ambito delle telecomunicazioni grazie ai progetti strategici sulla digitalizzazione del Paese.</w:t>
      </w:r>
      <w:r>
        <w:t xml:space="preserve"> Così come </w:t>
      </w:r>
      <w:r w:rsidR="007840E9">
        <w:t xml:space="preserve">stiamo assistendo a </w:t>
      </w:r>
      <w:r>
        <w:t>continui ammodernamenti delle reti gas, acqua e fognature.</w:t>
      </w:r>
    </w:p>
    <w:p w14:paraId="49F6E745" w14:textId="77777777" w:rsidR="004275E0" w:rsidRDefault="004275E0" w:rsidP="004275E0">
      <w:pPr>
        <w:jc w:val="both"/>
      </w:pPr>
      <w:r>
        <w:t xml:space="preserve">Sgombriamo subito dal campo l’idea che questa tipologia di occupazione possa rientrare nel pagamento effettuato annualmente dalle aziende che erogano pubblici servizi. Quel versamento calcolato con la speciale tariffa ad utenza fissata al comma 831 della legge 160/2019. Siamo di fronte ad una tipologia diversa, che nulla a che fare con il pagamento del CUP con tariffa forfetaria che il Legislatore ha previsto per le sole occupazioni permanenti effettuate nel territorio comunale da queste aziende. Vi rientrano sostanzialmente i cavi e le condutture che occupano stabilmente il sottosuolo. Occupazioni permanenti “invisibili” per le quali il Legislatore ha voluto un pagamento basato sul numero di utenze servite piuttosto che legato alle reali superfici occupate (di difficile misurazione). </w:t>
      </w:r>
    </w:p>
    <w:p w14:paraId="20131FA7" w14:textId="77777777" w:rsidR="004275E0" w:rsidRDefault="004275E0" w:rsidP="004275E0">
      <w:pPr>
        <w:jc w:val="both"/>
      </w:pPr>
      <w:r>
        <w:t xml:space="preserve">I cantieri stradali messi in opera per la posa e la manutenzione delle reti invece sono tutt’altra cosa. Questi dovranno pagare il Canone Unico in base alla tariffa temporanea e alla reale metratura sottratta all'uso pubblico moltiplicato per il periodo di giorni di effettiva occupazione. </w:t>
      </w:r>
    </w:p>
    <w:p w14:paraId="04E59CFE" w14:textId="18B21E7D" w:rsidR="004275E0" w:rsidRDefault="004275E0" w:rsidP="004275E0">
      <w:pPr>
        <w:jc w:val="both"/>
      </w:pPr>
      <w:r>
        <w:t>La tariffa sarà quindi quella temporanea prevista dal Comune per i cantieri edili, salvo i casi in cui gli Enti ne abbiano fissata una ad hoc.</w:t>
      </w:r>
    </w:p>
    <w:p w14:paraId="39BE574D" w14:textId="04938CF0" w:rsidR="004275E0" w:rsidRDefault="001C39C7" w:rsidP="004275E0">
      <w:pPr>
        <w:jc w:val="both"/>
      </w:pPr>
      <w:r>
        <w:t xml:space="preserve">La sentenza del Tribunale di Prato n. </w:t>
      </w:r>
      <w:r w:rsidRPr="001C39C7">
        <w:t>235 del 21/4/2025</w:t>
      </w:r>
      <w:r>
        <w:t xml:space="preserve"> va proprio in questa direzione.</w:t>
      </w:r>
    </w:p>
    <w:p w14:paraId="45BA9B63" w14:textId="1615FE4D" w:rsidR="00D6383F" w:rsidRDefault="00D6383F" w:rsidP="004275E0">
      <w:pPr>
        <w:jc w:val="both"/>
      </w:pPr>
      <w:r>
        <w:t xml:space="preserve">Tra i motivi di doglianza avanzati dalla società responsabile delle occupazioni realizzate per la posa e manutenzioni delle reti, </w:t>
      </w:r>
      <w:r w:rsidR="007840E9">
        <w:t>troviamo la richiesta di applicazione del</w:t>
      </w:r>
      <w:r>
        <w:t>l’esenzione legata alle occupazioni permanenti effettuate nel sottosuolo per gli allacci al</w:t>
      </w:r>
      <w:r w:rsidR="007840E9">
        <w:t>le</w:t>
      </w:r>
      <w:r>
        <w:t xml:space="preserve"> condutt</w:t>
      </w:r>
      <w:r w:rsidR="007840E9">
        <w:t>ure</w:t>
      </w:r>
      <w:r>
        <w:t xml:space="preserve"> dei pubblici servizi.</w:t>
      </w:r>
    </w:p>
    <w:p w14:paraId="26234230" w14:textId="77777777" w:rsidR="00D6383F" w:rsidRDefault="00D6383F" w:rsidP="004275E0">
      <w:pPr>
        <w:jc w:val="both"/>
      </w:pPr>
      <w:r>
        <w:t xml:space="preserve">I giudici della città toscana sul tema invece precisano: </w:t>
      </w:r>
    </w:p>
    <w:p w14:paraId="6ECE2210" w14:textId="561CB39C" w:rsidR="00D6383F" w:rsidRDefault="00D6383F" w:rsidP="004275E0">
      <w:pPr>
        <w:jc w:val="both"/>
        <w:rPr>
          <w:i/>
          <w:iCs/>
        </w:rPr>
      </w:pPr>
      <w:r w:rsidRPr="00D6383F">
        <w:rPr>
          <w:i/>
          <w:iCs/>
        </w:rPr>
        <w:t xml:space="preserve">“Nel caso di specie il canone richiesto inerisce solo ad occupazioni temporanee della viabilità pubblica effettuate da </w:t>
      </w:r>
      <w:r>
        <w:rPr>
          <w:i/>
          <w:iCs/>
        </w:rPr>
        <w:t xml:space="preserve">Parte 1 </w:t>
      </w:r>
      <w:r w:rsidRPr="00D6383F">
        <w:rPr>
          <w:i/>
          <w:iCs/>
        </w:rPr>
        <w:t>per l’esecuzione di interventi sulla rete, per le quali non sussiste invece nessuna ipotesi di esenzione.”</w:t>
      </w:r>
    </w:p>
    <w:p w14:paraId="49EFDD77" w14:textId="0C416449" w:rsidR="00D6383F" w:rsidRPr="00D6383F" w:rsidRDefault="00D6383F" w:rsidP="00D6383F">
      <w:pPr>
        <w:jc w:val="both"/>
      </w:pPr>
      <w:r w:rsidRPr="00D6383F">
        <w:t>La società ricorrente lamenta anche</w:t>
      </w:r>
      <w:r>
        <w:t xml:space="preserve"> che il Comune</w:t>
      </w:r>
      <w:r w:rsidRPr="00D6383F">
        <w:t xml:space="preserve">, in base al combinato disposto dagli artt.93 del D.lgs 259/2003 e 63, lett. e) del D.lgs 446/1997, avrebbe dovuto prevedere per le imprese che, come esercitano il servizio pubblico di telecomunicazioni, delle speciali agevolazioni nella determinazione del canone in questione. </w:t>
      </w:r>
    </w:p>
    <w:p w14:paraId="04664B5D" w14:textId="77777777" w:rsidR="00D6383F" w:rsidRDefault="00D6383F" w:rsidP="00D6383F">
      <w:pPr>
        <w:jc w:val="both"/>
      </w:pPr>
      <w:r>
        <w:t>Anche in questo caso la doglianza avanzata dalla ricorrente non convince i giudici che a tal proposito scrivono:</w:t>
      </w:r>
    </w:p>
    <w:p w14:paraId="34524F0D" w14:textId="6F37F023" w:rsidR="00D6383F" w:rsidRDefault="00D6383F" w:rsidP="00D6383F">
      <w:pPr>
        <w:jc w:val="both"/>
        <w:rPr>
          <w:i/>
          <w:iCs/>
        </w:rPr>
      </w:pPr>
      <w:r w:rsidRPr="0018284C">
        <w:rPr>
          <w:i/>
          <w:iCs/>
        </w:rPr>
        <w:t>“Una prospettazione difensiva che, invero, non risulta convincente: la normativa invocata dalla attrice è univocamente riferita alle occupazioni permanenti effettuate mediante la collocazione, su suolo e sottosuolo pubblico, di impianti e infrastrutture funzionali all’erogazione del servizio, e non, invece, alle operazioni, meramente temporanee, eseguite mediante cantieri mobili per interventi sulla rete, quali sono, si ribadisce, quelle poste alla base della pretesa creditoria di cui si tratta</w:t>
      </w:r>
      <w:r w:rsidR="0018284C">
        <w:rPr>
          <w:i/>
          <w:iCs/>
        </w:rPr>
        <w:t>”</w:t>
      </w:r>
    </w:p>
    <w:p w14:paraId="53BE6EF3" w14:textId="7D2A51A4" w:rsidR="0018284C" w:rsidRDefault="00804B6E" w:rsidP="00804B6E">
      <w:pPr>
        <w:jc w:val="both"/>
      </w:pPr>
      <w:r>
        <w:lastRenderedPageBreak/>
        <w:t>La sentenza infine affronta un tema molto delicato che riguarda la quantificazione del Canone dovuto a fronte del rilascio dell’autorizzazione per l’effettuazione del cantiere dedicato allo scavo.</w:t>
      </w:r>
    </w:p>
    <w:p w14:paraId="7E9B6B1F" w14:textId="07B173A4" w:rsidR="00804B6E" w:rsidRDefault="00804B6E" w:rsidP="00804B6E">
      <w:pPr>
        <w:jc w:val="both"/>
      </w:pPr>
      <w:r>
        <w:t xml:space="preserve">Come abbiamo </w:t>
      </w:r>
      <w:r w:rsidR="00875849">
        <w:t>scritto</w:t>
      </w:r>
      <w:r>
        <w:t xml:space="preserve"> questi cantieri hanno delle caratteristiche uniche che portano a considerarli come occupazioni </w:t>
      </w:r>
      <w:r w:rsidRPr="00F1483E">
        <w:rPr>
          <w:i/>
          <w:iCs/>
        </w:rPr>
        <w:t xml:space="preserve">“a sviluppo progressivo” </w:t>
      </w:r>
      <w:r>
        <w:t xml:space="preserve">caratterizzati da occupazioni definite in metri lineari da moltiplicare per una larghezza necessaria per </w:t>
      </w:r>
      <w:r w:rsidR="00F1483E">
        <w:t>consentire</w:t>
      </w:r>
      <w:r>
        <w:t xml:space="preserve"> le lavorazioni, con la sosta di uomin</w:t>
      </w:r>
      <w:r w:rsidR="00F1483E">
        <w:t>i</w:t>
      </w:r>
      <w:r>
        <w:t xml:space="preserve"> e mezzi dedicati al lavoro.</w:t>
      </w:r>
    </w:p>
    <w:p w14:paraId="1B0C8EB5" w14:textId="58F10D59" w:rsidR="00F1483E" w:rsidRDefault="00F1483E" w:rsidP="00F1483E">
      <w:pPr>
        <w:jc w:val="both"/>
      </w:pPr>
      <w:r w:rsidRPr="00F1483E">
        <w:t xml:space="preserve">Parliamo </w:t>
      </w:r>
      <w:r>
        <w:t>in genere</w:t>
      </w:r>
      <w:r w:rsidRPr="00F1483E">
        <w:t xml:space="preserve"> di cantieri molto importanti che sottraggono all’uso pubblico ampie porzioni di suolo, con grandi disagi alla popolazione residente che dovrà convivere per parecchi giorni con mezzi escavatori e interruzioni stradali nelle strade e sui marciapiedi pubblici</w:t>
      </w:r>
    </w:p>
    <w:p w14:paraId="435E3C7F" w14:textId="393BC0D9" w:rsidR="00804B6E" w:rsidRDefault="00B237F0" w:rsidP="00804B6E">
      <w:pPr>
        <w:jc w:val="both"/>
      </w:pPr>
      <w:r>
        <w:t>Si legge nella sentenza:</w:t>
      </w:r>
    </w:p>
    <w:p w14:paraId="47816986" w14:textId="77777777" w:rsidR="00B237F0" w:rsidRPr="00B237F0" w:rsidRDefault="00B237F0" w:rsidP="00B237F0">
      <w:pPr>
        <w:jc w:val="both"/>
        <w:rPr>
          <w:i/>
          <w:iCs/>
        </w:rPr>
      </w:pPr>
      <w:r w:rsidRPr="00B237F0">
        <w:rPr>
          <w:i/>
          <w:iCs/>
        </w:rPr>
        <w:t xml:space="preserve">“Ed invero il calcolo del canone inevaso non appare calcolato in maniera incongrua anzi trovando piena eco nelle norme di cui al regolamento comunale (cfr artt 6 20 21 22 23 e 24 Regolamento Cosap in atti) </w:t>
      </w:r>
    </w:p>
    <w:p w14:paraId="042B338E" w14:textId="5D329BF0" w:rsidR="00B237F0" w:rsidRDefault="00B237F0" w:rsidP="00B237F0">
      <w:pPr>
        <w:jc w:val="both"/>
        <w:rPr>
          <w:i/>
          <w:iCs/>
        </w:rPr>
      </w:pPr>
      <w:r w:rsidRPr="00B237F0">
        <w:rPr>
          <w:i/>
          <w:iCs/>
        </w:rPr>
        <w:t>In particolare ai sensi dell’art. 20 comma 6 lett. a) la misura dell’occupazione è determinata dalla seguente formula: “lunghezza dello scavo per larghezza dello scavo” su cui ex art 23 I co deve essere applicato un coefficiente che, nel caso in esame, appare essere stato calcolato secondo una misura forfettaria (1,5 sulla superficie dello scavo) che appare idonea a dare concreta eco della effettiva occupazione correlata alle autorizzazioni rilasciate solo che si consideri come l’area di cantiere per dato inoppugnabile non può essere ritenuta occupare la mera area dei lavori ma comporta una occupazione necessariamente maggiore della sede stradale .”</w:t>
      </w:r>
    </w:p>
    <w:p w14:paraId="6E7F6FBA" w14:textId="5852ACC9" w:rsidR="00933445" w:rsidRDefault="00B237F0" w:rsidP="00B237F0">
      <w:pPr>
        <w:jc w:val="both"/>
      </w:pPr>
      <w:r>
        <w:t xml:space="preserve">È evidente come il criterio di calcolo per queste occupazioni debba trovare specifica disciplina nel Regolamento Comunale. Occorre fissare dei criteri precisi che consentano una giusta liquidazione del dovuto sulla base delle istanze presentate dalle ditte in relazione ai lavori che dovranno essere eseguiti. Perché sono i tecnici delle stesse ditte che utilizzano i software messi a disposizioni dai Comuni per presentare le istanze di occupazioni per scavi e cantieri. Sulla base dei dati inseriti, che dovranno riportare </w:t>
      </w:r>
      <w:r w:rsidR="00875849">
        <w:t>i periodi</w:t>
      </w:r>
      <w:r>
        <w:t xml:space="preserve"> di lavorazione, i metri lineari degli scavi e le occupazioni realizzate per le attività lavorative (mezzi, veicoli e attrezzature necessarie allo scavo)</w:t>
      </w:r>
      <w:r w:rsidR="00933445">
        <w:t>, verrà calcolato il canone da versare.</w:t>
      </w:r>
    </w:p>
    <w:p w14:paraId="3C88540C" w14:textId="77777777" w:rsidR="00933445" w:rsidRDefault="00933445" w:rsidP="00B237F0">
      <w:pPr>
        <w:jc w:val="both"/>
      </w:pPr>
      <w:r>
        <w:t>In questo senso deve leggersi il passaggio nella sentenza dove si chiarisce la responsabilità diretta della ditta che esegue i lavori e i cui tecnici hanno presentato la domanda di occupazione:</w:t>
      </w:r>
    </w:p>
    <w:p w14:paraId="68764429" w14:textId="16EB0247" w:rsidR="00B237F0" w:rsidRDefault="00933445" w:rsidP="00B237F0">
      <w:pPr>
        <w:jc w:val="both"/>
        <w:rPr>
          <w:i/>
          <w:iCs/>
        </w:rPr>
      </w:pPr>
      <w:r w:rsidRPr="00933445">
        <w:rPr>
          <w:i/>
          <w:iCs/>
        </w:rPr>
        <w:t>“Non sfugge, infatti, come avendosi la prova che l’ente pubblico abbia commisurato la propria pretesa sulla scorta dei dati inseriti nelle richieste di autorizzazione avanzate dalla attrice ed a lei rilasciate l’onere di dimostrare la sussistenza e la estensione di circostanze estintive e/o modificative dei dati avrebbe dovuto essere provata dalla parte attrice “</w:t>
      </w:r>
      <w:r w:rsidR="00B237F0" w:rsidRPr="00933445">
        <w:rPr>
          <w:i/>
          <w:iCs/>
        </w:rPr>
        <w:t xml:space="preserve"> </w:t>
      </w:r>
    </w:p>
    <w:p w14:paraId="67DBE5D4" w14:textId="6AFE40D7" w:rsidR="00933445" w:rsidRPr="00933445" w:rsidRDefault="00933445" w:rsidP="00B237F0">
      <w:pPr>
        <w:jc w:val="both"/>
      </w:pPr>
      <w:r>
        <w:t xml:space="preserve">In definitiva, le occupazioni con scavi devono trovare una specifica disciplina e un’attenta attività di controllo da parte dei Comuni, affinché possa essere garantito il giusto pagamento del canone quale </w:t>
      </w:r>
      <w:r w:rsidR="00875849">
        <w:t xml:space="preserve">parziale </w:t>
      </w:r>
      <w:r>
        <w:t xml:space="preserve">ristoro del disagio arrecato alla collettività per la presenza </w:t>
      </w:r>
      <w:r w:rsidR="00875849">
        <w:t xml:space="preserve">massiccia </w:t>
      </w:r>
      <w:r>
        <w:t>su suolo pubblico di questi</w:t>
      </w:r>
      <w:r w:rsidR="00875849">
        <w:t xml:space="preserve"> speciali</w:t>
      </w:r>
      <w:r>
        <w:t xml:space="preserve"> cantieri</w:t>
      </w:r>
      <w:r w:rsidR="00875849">
        <w:t xml:space="preserve"> stradali</w:t>
      </w:r>
      <w:r>
        <w:t>.</w:t>
      </w:r>
    </w:p>
    <w:p w14:paraId="76A2D8A9" w14:textId="77777777" w:rsidR="00D6383F" w:rsidRDefault="00D6383F" w:rsidP="00804B6E">
      <w:pPr>
        <w:jc w:val="both"/>
      </w:pPr>
    </w:p>
    <w:p w14:paraId="3FCC2338" w14:textId="77777777" w:rsidR="001C39C7" w:rsidRDefault="001C39C7" w:rsidP="00804B6E">
      <w:pPr>
        <w:jc w:val="both"/>
      </w:pPr>
    </w:p>
    <w:p w14:paraId="6E5DDF06" w14:textId="77777777" w:rsidR="004275E0" w:rsidRDefault="004275E0" w:rsidP="00804B6E">
      <w:pPr>
        <w:jc w:val="both"/>
      </w:pPr>
    </w:p>
    <w:p w14:paraId="64DE40B9" w14:textId="2241CD36" w:rsidR="00DB02FA" w:rsidRPr="00DB02FA" w:rsidRDefault="00DB02FA" w:rsidP="00804B6E">
      <w:pPr>
        <w:jc w:val="both"/>
      </w:pPr>
    </w:p>
    <w:sectPr w:rsidR="00DB02FA" w:rsidRPr="00DB02F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le Serif Text">
    <w:altName w:val="Sole Serif Text"/>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AE"/>
    <w:rsid w:val="00001112"/>
    <w:rsid w:val="00060149"/>
    <w:rsid w:val="0018284C"/>
    <w:rsid w:val="001C39C7"/>
    <w:rsid w:val="00283CF6"/>
    <w:rsid w:val="003956DC"/>
    <w:rsid w:val="004275E0"/>
    <w:rsid w:val="00567CEA"/>
    <w:rsid w:val="007840E9"/>
    <w:rsid w:val="007B1496"/>
    <w:rsid w:val="007C40D5"/>
    <w:rsid w:val="00804B6E"/>
    <w:rsid w:val="0081702D"/>
    <w:rsid w:val="00875849"/>
    <w:rsid w:val="00894DB1"/>
    <w:rsid w:val="008F1BF0"/>
    <w:rsid w:val="00933445"/>
    <w:rsid w:val="00937217"/>
    <w:rsid w:val="00A112CE"/>
    <w:rsid w:val="00B237F0"/>
    <w:rsid w:val="00C068EA"/>
    <w:rsid w:val="00C82D85"/>
    <w:rsid w:val="00D6383F"/>
    <w:rsid w:val="00DB02FA"/>
    <w:rsid w:val="00EF4AAE"/>
    <w:rsid w:val="00F1483E"/>
    <w:rsid w:val="00F825B1"/>
    <w:rsid w:val="00FB47E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6F9B3"/>
  <w15:chartTrackingRefBased/>
  <w15:docId w15:val="{F9D2ABE8-98E9-464C-A87F-F8C047411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F4A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EF4A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EF4AA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EF4AA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EF4AA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EF4AA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F4AA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F4AA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F4AA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F4AA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EF4AA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EF4AA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EF4AA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EF4AA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EF4AA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F4AA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F4AA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F4AAE"/>
    <w:rPr>
      <w:rFonts w:eastAsiaTheme="majorEastAsia" w:cstheme="majorBidi"/>
      <w:color w:val="272727" w:themeColor="text1" w:themeTint="D8"/>
    </w:rPr>
  </w:style>
  <w:style w:type="paragraph" w:styleId="Titolo">
    <w:name w:val="Title"/>
    <w:basedOn w:val="Normale"/>
    <w:next w:val="Normale"/>
    <w:link w:val="TitoloCarattere"/>
    <w:uiPriority w:val="10"/>
    <w:qFormat/>
    <w:rsid w:val="00EF4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F4AA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F4AA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F4AA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F4AA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F4AAE"/>
    <w:rPr>
      <w:i/>
      <w:iCs/>
      <w:color w:val="404040" w:themeColor="text1" w:themeTint="BF"/>
    </w:rPr>
  </w:style>
  <w:style w:type="paragraph" w:styleId="Paragrafoelenco">
    <w:name w:val="List Paragraph"/>
    <w:basedOn w:val="Normale"/>
    <w:uiPriority w:val="34"/>
    <w:qFormat/>
    <w:rsid w:val="00EF4AAE"/>
    <w:pPr>
      <w:ind w:left="720"/>
      <w:contextualSpacing/>
    </w:pPr>
  </w:style>
  <w:style w:type="character" w:styleId="Enfasiintensa">
    <w:name w:val="Intense Emphasis"/>
    <w:basedOn w:val="Carpredefinitoparagrafo"/>
    <w:uiPriority w:val="21"/>
    <w:qFormat/>
    <w:rsid w:val="00EF4AAE"/>
    <w:rPr>
      <w:i/>
      <w:iCs/>
      <w:color w:val="2F5496" w:themeColor="accent1" w:themeShade="BF"/>
    </w:rPr>
  </w:style>
  <w:style w:type="paragraph" w:styleId="Citazioneintensa">
    <w:name w:val="Intense Quote"/>
    <w:basedOn w:val="Normale"/>
    <w:next w:val="Normale"/>
    <w:link w:val="CitazioneintensaCarattere"/>
    <w:uiPriority w:val="30"/>
    <w:qFormat/>
    <w:rsid w:val="00EF4A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EF4AAE"/>
    <w:rPr>
      <w:i/>
      <w:iCs/>
      <w:color w:val="2F5496" w:themeColor="accent1" w:themeShade="BF"/>
    </w:rPr>
  </w:style>
  <w:style w:type="character" w:styleId="Riferimentointenso">
    <w:name w:val="Intense Reference"/>
    <w:basedOn w:val="Carpredefinitoparagrafo"/>
    <w:uiPriority w:val="32"/>
    <w:qFormat/>
    <w:rsid w:val="00EF4AAE"/>
    <w:rPr>
      <w:b/>
      <w:bCs/>
      <w:smallCaps/>
      <w:color w:val="2F5496" w:themeColor="accent1" w:themeShade="BF"/>
      <w:spacing w:val="5"/>
    </w:rPr>
  </w:style>
  <w:style w:type="character" w:styleId="Enfasigrassetto">
    <w:name w:val="Strong"/>
    <w:basedOn w:val="Carpredefinitoparagrafo"/>
    <w:uiPriority w:val="22"/>
    <w:qFormat/>
    <w:rsid w:val="00FB47EA"/>
    <w:rPr>
      <w:b/>
      <w:bCs/>
    </w:rPr>
  </w:style>
  <w:style w:type="paragraph" w:customStyle="1" w:styleId="Default">
    <w:name w:val="Default"/>
    <w:rsid w:val="004275E0"/>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2</Pages>
  <Words>1035</Words>
  <Characters>5904</Characters>
  <Application>Microsoft Office Word</Application>
  <DocSecurity>0</DocSecurity>
  <Lines>49</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13</cp:revision>
  <dcterms:created xsi:type="dcterms:W3CDTF">2025-10-07T10:35:00Z</dcterms:created>
  <dcterms:modified xsi:type="dcterms:W3CDTF">2025-10-13T10:35:00Z</dcterms:modified>
</cp:coreProperties>
</file>