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1EBC3" w14:textId="70F2A511" w:rsidR="00060149" w:rsidRDefault="00EE74C8">
      <w:r>
        <w:t xml:space="preserve">Titolo: i passi carrabili a raso </w:t>
      </w:r>
      <w:r w:rsidR="00707EBB">
        <w:t>sono soggetti al pagamento</w:t>
      </w:r>
    </w:p>
    <w:p w14:paraId="5BDE704C" w14:textId="52EA21EF" w:rsidR="00EE74C8" w:rsidRDefault="00EE74C8">
      <w:r>
        <w:t>Di Alessandro Merciari</w:t>
      </w:r>
    </w:p>
    <w:p w14:paraId="475DE0A5" w14:textId="77777777" w:rsidR="00EE74C8" w:rsidRDefault="00EE74C8"/>
    <w:p w14:paraId="057571C7" w14:textId="69266737" w:rsidR="00EE74C8" w:rsidRDefault="00EE74C8" w:rsidP="00B3115F">
      <w:pPr>
        <w:jc w:val="both"/>
      </w:pPr>
      <w:r>
        <w:t>Una recente pronuncia della Corte di Giustizia Tributaria di secondo grado del Lazio</w:t>
      </w:r>
      <w:r w:rsidR="00707EBB">
        <w:t>,</w:t>
      </w:r>
      <w:r>
        <w:t xml:space="preserve"> relativa un ricorso TOSAP con il quale il ricorrente contestava la legittimità dell’avviso di accertamento emesso per il recupero della Tassa per l’Occupazione di Spazi ed Aree Pubbliche, è occasione per fare un </w:t>
      </w:r>
      <w:r w:rsidR="00707EBB">
        <w:t xml:space="preserve">nuovo </w:t>
      </w:r>
      <w:r>
        <w:t>approfondimento della casistica dei passi carrabili “a raso” sui quali tanto si è detto e scritto in passato.</w:t>
      </w:r>
    </w:p>
    <w:p w14:paraId="144BF8FD" w14:textId="6C4FAA0B" w:rsidR="00EE74C8" w:rsidRDefault="00EE74C8" w:rsidP="00B3115F">
      <w:pPr>
        <w:jc w:val="both"/>
      </w:pPr>
      <w:r>
        <w:t>Con il passaggio a CUP, è cambiato qualcosa? Possiamo ritenere superat</w:t>
      </w:r>
      <w:r w:rsidR="008D0DCE">
        <w:t xml:space="preserve">e le interpretazioni su quali </w:t>
      </w:r>
      <w:r w:rsidR="00707EBB">
        <w:t xml:space="preserve">tipologie di </w:t>
      </w:r>
      <w:r w:rsidR="008D0DCE">
        <w:t>accessi rientrano nel presupposto del Canone Unico?</w:t>
      </w:r>
    </w:p>
    <w:p w14:paraId="463C2F7B" w14:textId="7DE9A877" w:rsidR="008D0DCE" w:rsidRPr="00B3115F" w:rsidRDefault="00707EBB" w:rsidP="00B3115F">
      <w:pPr>
        <w:jc w:val="both"/>
        <w:rPr>
          <w:u w:val="single"/>
        </w:rPr>
      </w:pPr>
      <w:r>
        <w:t xml:space="preserve">Analizziamo innanzi tutto la </w:t>
      </w:r>
      <w:r w:rsidR="00185CF3" w:rsidRPr="00707EBB">
        <w:t>sentenza</w:t>
      </w:r>
      <w:r w:rsidR="00441973" w:rsidRPr="00707EBB">
        <w:t xml:space="preserve"> CGT2G-Lazio-Sez.XVII-Sentenza-691-del-3_2_2025</w:t>
      </w:r>
      <w:r>
        <w:t>.</w:t>
      </w:r>
    </w:p>
    <w:p w14:paraId="15BF113B" w14:textId="0267640F" w:rsidR="00441973" w:rsidRDefault="00B3115F" w:rsidP="00B3115F">
      <w:pPr>
        <w:jc w:val="both"/>
        <w:rPr>
          <w:i/>
          <w:iCs/>
        </w:rPr>
      </w:pPr>
      <w:r>
        <w:t xml:space="preserve">Nella decisione i giudici si soffermano su tutti i motivi di ricorso respingendone puntualmente le doglianze presentate dalla ricorrente. In particolare in relazione al motivo che vorrebbe solo i titolari di un formale atto di legittimazione all’occupazione quali soggetto passivo della TOSAP, i giudici regionali significano che: </w:t>
      </w:r>
      <w:r w:rsidRPr="00B3115F">
        <w:rPr>
          <w:i/>
          <w:iCs/>
        </w:rPr>
        <w:t>“il costante orientamento giurisprudenziale di merito che afferma il pieno assoggettamento alla TOSAP anche delle mere occupazioni di fatto del suolo pubblico. Una diversa interpretazione porterebbe, infatti, al paradossale risultato di assoggettare a tassazione i soli soggetti regolarmente legittimati all'occupazione del suolo pubblico, esonerandone invece quei soggetti che senza legittimazione alcuna parimenti occupano il suolo pubblico in via di mero fatto.</w:t>
      </w:r>
      <w:r>
        <w:rPr>
          <w:i/>
          <w:iCs/>
        </w:rPr>
        <w:t>”</w:t>
      </w:r>
    </w:p>
    <w:p w14:paraId="7AD98BC9" w14:textId="43D6E110" w:rsidR="00B3115F" w:rsidRPr="00B3115F" w:rsidRDefault="00B3115F" w:rsidP="00B3115F">
      <w:pPr>
        <w:jc w:val="both"/>
      </w:pPr>
      <w:r>
        <w:t>Sul merito della pretesa tributaria in contestazione, la Corte</w:t>
      </w:r>
      <w:r w:rsidR="008C0463">
        <w:t xml:space="preserve"> Tributaria</w:t>
      </w:r>
      <w:r>
        <w:t xml:space="preserve"> ricostruisce il quadro normativo e giurisprudenziale di riferimento in materia di assoggettamento a TOSAP degli accessi e dei passi carrabili "a raso".</w:t>
      </w:r>
    </w:p>
    <w:p w14:paraId="3A628A7B" w14:textId="57CE1FFB" w:rsidR="00185CF3" w:rsidRDefault="008C0463" w:rsidP="00660922">
      <w:pPr>
        <w:jc w:val="both"/>
        <w:rPr>
          <w:i/>
          <w:iCs/>
        </w:rPr>
      </w:pPr>
      <w:r w:rsidRPr="008C0463">
        <w:t>Si richiama in sentenza l’orientamento della Corte di Cassazione</w:t>
      </w:r>
      <w:r>
        <w:rPr>
          <w:i/>
          <w:iCs/>
        </w:rPr>
        <w:t xml:space="preserve">: </w:t>
      </w:r>
      <w:r w:rsidR="00660922" w:rsidRPr="00660922">
        <w:rPr>
          <w:i/>
          <w:iCs/>
        </w:rPr>
        <w:t xml:space="preserve">“Nell'applicare tali norme, la </w:t>
      </w:r>
      <w:r w:rsidR="00B3115F" w:rsidRPr="00660922">
        <w:rPr>
          <w:i/>
          <w:iCs/>
        </w:rPr>
        <w:t>Suprema Corte, a partire dal 2003, ha fissato il principio per</w:t>
      </w:r>
      <w:r w:rsidR="00660922" w:rsidRPr="00660922">
        <w:rPr>
          <w:i/>
          <w:iCs/>
        </w:rPr>
        <w:t xml:space="preserve"> </w:t>
      </w:r>
      <w:r w:rsidR="00B3115F" w:rsidRPr="00660922">
        <w:rPr>
          <w:i/>
          <w:iCs/>
        </w:rPr>
        <w:t>il quale "in tema di tassa per l'occupazione di spazi ed aree pubbliche (TOSAP), ai sensi</w:t>
      </w:r>
      <w:r w:rsidR="00660922" w:rsidRPr="00660922">
        <w:rPr>
          <w:i/>
          <w:iCs/>
        </w:rPr>
        <w:t xml:space="preserve"> </w:t>
      </w:r>
      <w:r w:rsidR="00B3115F" w:rsidRPr="00660922">
        <w:rPr>
          <w:i/>
          <w:iCs/>
        </w:rPr>
        <w:t xml:space="preserve">dell'art. 44, comma 8, del </w:t>
      </w:r>
      <w:proofErr w:type="spellStart"/>
      <w:r w:rsidR="00B3115F" w:rsidRPr="00660922">
        <w:rPr>
          <w:i/>
          <w:iCs/>
        </w:rPr>
        <w:t>D.Lgs.</w:t>
      </w:r>
      <w:proofErr w:type="spellEnd"/>
      <w:r w:rsidR="00B3115F" w:rsidRPr="00660922">
        <w:rPr>
          <w:i/>
          <w:iCs/>
        </w:rPr>
        <w:t xml:space="preserve"> 15 novembre 1993, n. 507, gli accessi, carrabili o</w:t>
      </w:r>
      <w:r w:rsidR="00660922" w:rsidRPr="00660922">
        <w:rPr>
          <w:i/>
          <w:iCs/>
        </w:rPr>
        <w:t xml:space="preserve"> </w:t>
      </w:r>
      <w:r w:rsidR="00B3115F" w:rsidRPr="00660922">
        <w:rPr>
          <w:i/>
          <w:iCs/>
        </w:rPr>
        <w:t>pedonali, posti a filo con il manto stradale, per i quali sia</w:t>
      </w:r>
      <w:r w:rsidR="00660922" w:rsidRPr="00660922">
        <w:rPr>
          <w:i/>
          <w:iCs/>
        </w:rPr>
        <w:t xml:space="preserve"> </w:t>
      </w:r>
      <w:r w:rsidR="00B3115F" w:rsidRPr="00660922">
        <w:rPr>
          <w:i/>
          <w:iCs/>
        </w:rPr>
        <w:t>stato rilasciato apposito cartello</w:t>
      </w:r>
      <w:r w:rsidR="00660922" w:rsidRPr="00660922">
        <w:rPr>
          <w:i/>
          <w:iCs/>
        </w:rPr>
        <w:t xml:space="preserve"> </w:t>
      </w:r>
      <w:r w:rsidR="00B3115F" w:rsidRPr="00660922">
        <w:rPr>
          <w:i/>
          <w:iCs/>
        </w:rPr>
        <w:t>segnaletico di divieto di sosta, sono soggetti alla tassa, determinata con tariffa ordinaria,</w:t>
      </w:r>
      <w:r w:rsidR="00660922" w:rsidRPr="00660922">
        <w:rPr>
          <w:i/>
          <w:iCs/>
        </w:rPr>
        <w:t xml:space="preserve"> </w:t>
      </w:r>
      <w:r w:rsidR="00B3115F" w:rsidRPr="00660922">
        <w:rPr>
          <w:i/>
          <w:iCs/>
        </w:rPr>
        <w:t>ridotta fino al 10 per cento. Da un lato, infatti, l'art. 3, comma 60, della L. 28 dicembre</w:t>
      </w:r>
      <w:r w:rsidR="00660922" w:rsidRPr="00660922">
        <w:rPr>
          <w:i/>
          <w:iCs/>
        </w:rPr>
        <w:t xml:space="preserve"> </w:t>
      </w:r>
      <w:r w:rsidR="00B3115F" w:rsidRPr="00660922">
        <w:rPr>
          <w:i/>
          <w:iCs/>
        </w:rPr>
        <w:t>1995, n. 549, nell'abrogare il comma 7 del citato art. 44, ha soltanto inteso eliminare (per</w:t>
      </w:r>
      <w:r w:rsidR="00660922" w:rsidRPr="00660922">
        <w:rPr>
          <w:i/>
          <w:iCs/>
        </w:rPr>
        <w:t xml:space="preserve"> </w:t>
      </w:r>
      <w:r w:rsidR="00B3115F" w:rsidRPr="00660922">
        <w:rPr>
          <w:i/>
          <w:iCs/>
        </w:rPr>
        <w:t>evitare dubbi interpretativi) la regola generale della non imponibilità degli accessi a filo</w:t>
      </w:r>
      <w:r w:rsidR="00660922" w:rsidRPr="00660922">
        <w:rPr>
          <w:i/>
          <w:iCs/>
        </w:rPr>
        <w:t xml:space="preserve"> </w:t>
      </w:r>
      <w:r w:rsidR="00B3115F" w:rsidRPr="00660922">
        <w:rPr>
          <w:i/>
          <w:iCs/>
        </w:rPr>
        <w:t>con il manto stradale, ma, mantenendo fermo il comma 8 (che richiama il comma</w:t>
      </w:r>
      <w:r w:rsidR="00660922" w:rsidRPr="00660922">
        <w:rPr>
          <w:i/>
          <w:iCs/>
        </w:rPr>
        <w:t xml:space="preserve"> </w:t>
      </w:r>
      <w:r w:rsidR="00B3115F" w:rsidRPr="00660922">
        <w:rPr>
          <w:i/>
          <w:iCs/>
        </w:rPr>
        <w:t>precedente), ne ha conservato l'imponibilità nel caso del rilascio del cartello di divieto di</w:t>
      </w:r>
      <w:r w:rsidR="00660922" w:rsidRPr="00660922">
        <w:rPr>
          <w:i/>
          <w:iCs/>
        </w:rPr>
        <w:t xml:space="preserve"> </w:t>
      </w:r>
      <w:r w:rsidR="00B3115F" w:rsidRPr="00660922">
        <w:rPr>
          <w:i/>
          <w:iCs/>
        </w:rPr>
        <w:t>sosta, e, dall'altro, siffatti accessi a raso, muniti del detto cartello, configurano una</w:t>
      </w:r>
      <w:r w:rsidR="00660922" w:rsidRPr="00660922">
        <w:rPr>
          <w:i/>
          <w:iCs/>
        </w:rPr>
        <w:t xml:space="preserve"> </w:t>
      </w:r>
      <w:r w:rsidR="00B3115F" w:rsidRPr="00660922">
        <w:rPr>
          <w:i/>
          <w:iCs/>
        </w:rPr>
        <w:t>sottrazione del bene all'uso pubblico (e, quindi, un'occupazione tassabile), con</w:t>
      </w:r>
      <w:r w:rsidR="00660922" w:rsidRPr="00660922">
        <w:rPr>
          <w:i/>
          <w:iCs/>
        </w:rPr>
        <w:t xml:space="preserve"> </w:t>
      </w:r>
      <w:r w:rsidR="00B3115F" w:rsidRPr="00660922">
        <w:rPr>
          <w:i/>
          <w:iCs/>
        </w:rPr>
        <w:t>correlativo vantaggio per il proprietario, derivante dall'esistenza del divieto di sosta per</w:t>
      </w:r>
      <w:r w:rsidR="00660922" w:rsidRPr="00660922">
        <w:rPr>
          <w:i/>
          <w:iCs/>
        </w:rPr>
        <w:t xml:space="preserve"> </w:t>
      </w:r>
      <w:r w:rsidR="00B3115F" w:rsidRPr="00660922">
        <w:rPr>
          <w:i/>
          <w:iCs/>
        </w:rPr>
        <w:t>gli altri" (Cass. n. 18557/2003; conforme, Cass. n. 17717/2009)).</w:t>
      </w:r>
      <w:r w:rsidR="00660922" w:rsidRPr="00660922">
        <w:rPr>
          <w:i/>
          <w:iCs/>
        </w:rPr>
        <w:t>”</w:t>
      </w:r>
    </w:p>
    <w:p w14:paraId="392AE553" w14:textId="66C1ADF1" w:rsidR="008C0463" w:rsidRDefault="008C0463" w:rsidP="008C0463">
      <w:pPr>
        <w:jc w:val="both"/>
        <w:rPr>
          <w:i/>
          <w:iCs/>
        </w:rPr>
      </w:pPr>
      <w:r>
        <w:t>Dopo i richiami ad altre sentenze (</w:t>
      </w:r>
      <w:r w:rsidRPr="008C0463">
        <w:t>Cass. n. 8106/2004</w:t>
      </w:r>
      <w:r>
        <w:t xml:space="preserve">, </w:t>
      </w:r>
      <w:r w:rsidRPr="008C0463">
        <w:t>Cass. n. 16913/2007</w:t>
      </w:r>
      <w:r>
        <w:t xml:space="preserve">, </w:t>
      </w:r>
      <w:r w:rsidRPr="008C0463">
        <w:t>Cass.</w:t>
      </w:r>
      <w:r>
        <w:t xml:space="preserve"> </w:t>
      </w:r>
      <w:r w:rsidRPr="008C0463">
        <w:t>n. 25345/202</w:t>
      </w:r>
      <w:r>
        <w:t xml:space="preserve">0), tutte orientate nel ritenere soggette al pagamento i passi carrabili che presentano una modifica intesa ad agevolare l’accesso veicolare e quelli per i quali è stato richiesto l’esposizione del cartello di divieto di sosta, la Corte tributaria regionale del Lazio scrive: </w:t>
      </w:r>
      <w:r w:rsidRPr="008C0463">
        <w:rPr>
          <w:i/>
          <w:iCs/>
        </w:rPr>
        <w:t xml:space="preserve">“Ne discende pertanto che, sono esclusi dalla TOSAP soltanto gli accessi o i varchi a filo con il manto stradale, realizzati con portoni e cancelli che si aprono direttamente sulla pubblica strada e che mancano di opere tali da rendere concreta l'occupazione e certa la superficie sottratta all'uso pubblico (c.d. accessi a raso), </w:t>
      </w:r>
      <w:r w:rsidRPr="008C0463">
        <w:rPr>
          <w:i/>
          <w:iCs/>
          <w:u w:val="single"/>
        </w:rPr>
        <w:t>a meno che si configurino come passi carrabili rispetto ai quali il contribuente abbia chiesto ed ottenuto dal Comune</w:t>
      </w:r>
      <w:r w:rsidRPr="008C0463">
        <w:rPr>
          <w:i/>
          <w:iCs/>
        </w:rPr>
        <w:t xml:space="preserve"> - ai sensi dell'art. 44, </w:t>
      </w:r>
      <w:proofErr w:type="spellStart"/>
      <w:r w:rsidRPr="008C0463">
        <w:rPr>
          <w:i/>
          <w:iCs/>
        </w:rPr>
        <w:t>D.Lgs.</w:t>
      </w:r>
      <w:proofErr w:type="spellEnd"/>
      <w:r w:rsidRPr="008C0463">
        <w:rPr>
          <w:i/>
          <w:iCs/>
        </w:rPr>
        <w:t xml:space="preserve"> 15 novembre 1993, n. 507, cit. e dell'art. 22 </w:t>
      </w:r>
      <w:proofErr w:type="gramStart"/>
      <w:r w:rsidRPr="008C0463">
        <w:rPr>
          <w:i/>
          <w:iCs/>
        </w:rPr>
        <w:t>C.d.S..</w:t>
      </w:r>
      <w:proofErr w:type="gramEnd"/>
      <w:r w:rsidRPr="008C0463">
        <w:rPr>
          <w:i/>
          <w:iCs/>
        </w:rPr>
        <w:t xml:space="preserve"> - </w:t>
      </w:r>
      <w:r w:rsidRPr="008C0463">
        <w:rPr>
          <w:i/>
          <w:iCs/>
          <w:u w:val="single"/>
        </w:rPr>
        <w:t>l'apposizione del cartello di divieto di sosta che configura una sottrazione del bene all'uso pubblico</w:t>
      </w:r>
      <w:r w:rsidRPr="008C0463">
        <w:rPr>
          <w:i/>
          <w:iCs/>
        </w:rPr>
        <w:t>, con correlativo vantaggio per il proprietario, derivante dall'esistenza del divieto di sosta per gli altri e, quindi, un'occupazione di suolo pubblico tassabile.”</w:t>
      </w:r>
    </w:p>
    <w:p w14:paraId="2EECFD91" w14:textId="0B53D4B3" w:rsidR="00E13D15" w:rsidRDefault="00707EBB" w:rsidP="00E13D15">
      <w:pPr>
        <w:jc w:val="both"/>
      </w:pPr>
      <w:r>
        <w:lastRenderedPageBreak/>
        <w:t>Riportate</w:t>
      </w:r>
      <w:r w:rsidRPr="00707EBB">
        <w:t xml:space="preserve"> queste preziose considerazioni</w:t>
      </w:r>
      <w:r>
        <w:t xml:space="preserve"> descritte dai giudici tributari e v</w:t>
      </w:r>
      <w:r w:rsidR="00E13D15">
        <w:t xml:space="preserve">alutato come in </w:t>
      </w:r>
      <w:r>
        <w:t xml:space="preserve">passato con il </w:t>
      </w:r>
      <w:r w:rsidR="00E13D15">
        <w:t>regime TOSAP gli accessi carrabili erano soggetti al pagamento della tass</w:t>
      </w:r>
      <w:r w:rsidR="00A23A07">
        <w:t>a, sia</w:t>
      </w:r>
      <w:r w:rsidR="00E13D15">
        <w:t xml:space="preserve"> in ragione delle modifiche al piano stradale </w:t>
      </w:r>
      <w:r w:rsidR="00A23A07">
        <w:t>sia</w:t>
      </w:r>
      <w:r w:rsidR="00E13D15">
        <w:t xml:space="preserve"> in conseguenza dell’esposizione del cartello di divieto di sosta, generando l’indisponibilità dell’area antistante l’accesso carrabile, </w:t>
      </w:r>
      <w:r>
        <w:t>valut</w:t>
      </w:r>
      <w:r w:rsidR="00A23A07">
        <w:t>iamo come</w:t>
      </w:r>
      <w:r w:rsidR="00E13D15">
        <w:t xml:space="preserve"> la fattispecie </w:t>
      </w:r>
      <w:r w:rsidR="00A23A07">
        <w:t>si trasla nel</w:t>
      </w:r>
      <w:r w:rsidR="00E13D15">
        <w:t>l’odierno prelievo introdotto a partire dal 2021</w:t>
      </w:r>
      <w:r w:rsidR="00A23A07">
        <w:t>.</w:t>
      </w:r>
    </w:p>
    <w:p w14:paraId="62345A7A" w14:textId="213203A8" w:rsidR="00707EBB" w:rsidRDefault="00707EBB" w:rsidP="00707EBB">
      <w:pPr>
        <w:jc w:val="both"/>
      </w:pPr>
      <w:r>
        <w:t xml:space="preserve">Con l’istituzione del nuovo canone unico patrimoniale, l’approccio alla materia dei passi carrabili è profondamento cambiato. Di certo non perché il Legislatore abbia dedicato una disciplina specifica a questa particolare fattispecie, sostanzialmente ignorata dai commi della Legge 160/2019 dedicati alla nuova entrata, </w:t>
      </w:r>
      <w:r w:rsidRPr="00A23A07">
        <w:rPr>
          <w:u w:val="single"/>
        </w:rPr>
        <w:t>ma per la filosofia che sta alla base del CUP che vede strettissimo e indissolubile il legame tra la fase amministrativa di rilascio delle concessioni/autorizzazioni e quella del prelievo.</w:t>
      </w:r>
    </w:p>
    <w:p w14:paraId="7587A595" w14:textId="10D6AF39" w:rsidR="00E13D15" w:rsidRPr="00E13D15" w:rsidRDefault="00707EBB" w:rsidP="00707EBB">
      <w:pPr>
        <w:jc w:val="both"/>
      </w:pPr>
      <w:r>
        <w:t xml:space="preserve">Diciamolo subito, </w:t>
      </w:r>
      <w:r w:rsidR="00A23A07">
        <w:t xml:space="preserve">tutti </w:t>
      </w:r>
      <w:r>
        <w:t xml:space="preserve">i passi carrabili, compresi quelli a “raso”, ovvero quelli che non presentano alcuna modifica del piano stradale, né interruzioni di marciapiede, rientrano nel presupposto del Canone Unico e devono pagare in base alla tariffa deliberata da ciascun ente territoriale competente per il tratto di strada sul quale danno accesso. Dovranno pagare il canone dal momento in cui vengono autorizzati </w:t>
      </w:r>
      <w:r w:rsidR="00A23A07">
        <w:t xml:space="preserve">e </w:t>
      </w:r>
      <w:r>
        <w:t>per tutto il periodo di durata dell’autorizzazione.</w:t>
      </w:r>
    </w:p>
    <w:p w14:paraId="058A484B" w14:textId="237779B6" w:rsidR="00E13D15" w:rsidRDefault="00707EBB" w:rsidP="00707EBB">
      <w:pPr>
        <w:jc w:val="both"/>
      </w:pPr>
      <w:r>
        <w:t xml:space="preserve">A mente dell’articolo 22 del Codice della Strada tutti gli accessi carrabili devono essere autorizzati dall’ente proprietario della strada. Questo significa che per poter accedere con un veicolo alla strada pubblica da una proprietà privata è necessario avere l’autorizzazione dell’ente responsabile su quel tratto di via. Esistono condizioni di sicurezza e distanze, contenute nell’articolo 46 del Regolamento di attuazione del </w:t>
      </w:r>
      <w:proofErr w:type="spellStart"/>
      <w:r>
        <w:t>CdS</w:t>
      </w:r>
      <w:proofErr w:type="spellEnd"/>
      <w:r>
        <w:t>, che devono essere valutate e rispettate per poter concedere la possibilità di transitare con un veicolo dalla strada pubblica all’area privata e viceversa.</w:t>
      </w:r>
    </w:p>
    <w:p w14:paraId="3D65BC02" w14:textId="54C4502C" w:rsidR="00707EBB" w:rsidRPr="00707EBB" w:rsidRDefault="00707EBB" w:rsidP="00707EBB">
      <w:pPr>
        <w:jc w:val="both"/>
        <w:rPr>
          <w:u w:val="single"/>
        </w:rPr>
      </w:pPr>
      <w:r w:rsidRPr="00707EBB">
        <w:t>Una volta ottenuta l’autorizzazione, gli accessi carrabili dovranno, in base al comma 3 dell</w:t>
      </w:r>
      <w:r>
        <w:t xml:space="preserve">o stesso </w:t>
      </w:r>
      <w:r w:rsidRPr="00707EBB">
        <w:t xml:space="preserve">articolo 22, essere individuati con l’apposito segnale, le cui caratteristiche sono riportate nella Figura II.78 a corredo dell’articolo 120 del Regolamenti di attuazione del </w:t>
      </w:r>
      <w:proofErr w:type="spellStart"/>
      <w:r w:rsidRPr="00707EBB">
        <w:t>CdS</w:t>
      </w:r>
      <w:proofErr w:type="spellEnd"/>
      <w:r w:rsidRPr="00707EBB">
        <w:t xml:space="preserve">. Articolo che stabilisce come il cartello di passo carrabile debba indicare la zona per l'accesso dei veicoli alle proprietà laterali, </w:t>
      </w:r>
      <w:r w:rsidRPr="00707EBB">
        <w:rPr>
          <w:u w:val="single"/>
        </w:rPr>
        <w:t>in corrispondenza della quale vige in permanenza il divieto di sosta, ai sensi dell'articolo 158 del Codice.</w:t>
      </w:r>
    </w:p>
    <w:p w14:paraId="4A683C3A" w14:textId="1EF06E11" w:rsidR="00660922" w:rsidRDefault="00707EBB" w:rsidP="00707EBB">
      <w:pPr>
        <w:jc w:val="both"/>
      </w:pPr>
      <w:r w:rsidRPr="00707EBB">
        <w:t>Dalla lettura coordinata di queste disposizioni,</w:t>
      </w:r>
      <w:r>
        <w:t xml:space="preserve"> forti anche della giurisprudenza formatasi in materia di TOSAP </w:t>
      </w:r>
      <w:r w:rsidR="00A23A07">
        <w:t>(</w:t>
      </w:r>
      <w:r>
        <w:t>da ultimo la sentenza di CGT del Lazio</w:t>
      </w:r>
      <w:r w:rsidR="00A23A07">
        <w:t xml:space="preserve"> in </w:t>
      </w:r>
      <w:r w:rsidR="00BC7E93">
        <w:t xml:space="preserve">commento) </w:t>
      </w:r>
      <w:r w:rsidR="00BC7E93" w:rsidRPr="00707EBB">
        <w:t>risulta</w:t>
      </w:r>
      <w:r w:rsidRPr="00707EBB">
        <w:t xml:space="preserve"> evidente come oggi non abbia più senso legare la soggettività passiva al canone solo con le eventuali modifiche del piano stradale intese a facilitare l’accesso alla proprietà privata. Si ritiene </w:t>
      </w:r>
      <w:r w:rsidR="00A23A07">
        <w:t>piuttosto</w:t>
      </w:r>
      <w:r w:rsidRPr="00707EBB">
        <w:t xml:space="preserve"> che tutte le volte che verrà rilasciata l’autorizzazione di passo carrabile, che lo ricordiamo prevede per la sua corretta individuazione l’esposizione del segnale, questa debba comportare il pagamento del CUP, indipendentemente dalle caratteristiche fisiche dall’accesso.</w:t>
      </w:r>
    </w:p>
    <w:p w14:paraId="79A1A8C2" w14:textId="0E5E6265" w:rsidR="00707EBB" w:rsidRPr="00660922" w:rsidRDefault="00707EBB" w:rsidP="00707EBB">
      <w:pPr>
        <w:jc w:val="both"/>
      </w:pPr>
      <w:r w:rsidRPr="00707EBB">
        <w:t xml:space="preserve">Principio che ritroviamo </w:t>
      </w:r>
      <w:r w:rsidR="00A23A07">
        <w:t xml:space="preserve">perfettamente </w:t>
      </w:r>
      <w:r w:rsidRPr="00707EBB">
        <w:t>espresso anche nella sentenza n. 17717 del 30 luglio 2009 dove si ribadi</w:t>
      </w:r>
      <w:r>
        <w:t>va</w:t>
      </w:r>
      <w:r w:rsidRPr="00707EBB">
        <w:t xml:space="preserve"> come: </w:t>
      </w:r>
      <w:r w:rsidRPr="00707EBB">
        <w:rPr>
          <w:i/>
          <w:iCs/>
        </w:rPr>
        <w:t>“anche un cartello segnaletico, che inibisca la sosta in corrispondenza di un passo carrabile, è idoneo a sottrarre tale spazio all’uso generalizzato della collettività, creando, in favore dei soggetti che ne usufruiscono, una situazione di uso privilegiato di detto spazio pubblico riconducibile pur sempre alla previsione impositiva. (vedi Cass. n. 18289/04)”.</w:t>
      </w:r>
    </w:p>
    <w:sectPr w:rsidR="00707EBB" w:rsidRPr="0066092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7D"/>
    <w:rsid w:val="00060149"/>
    <w:rsid w:val="00180F16"/>
    <w:rsid w:val="00185CF3"/>
    <w:rsid w:val="003E407D"/>
    <w:rsid w:val="00441973"/>
    <w:rsid w:val="00660922"/>
    <w:rsid w:val="00707EBB"/>
    <w:rsid w:val="007B1496"/>
    <w:rsid w:val="008C0463"/>
    <w:rsid w:val="008D0DCE"/>
    <w:rsid w:val="00A23A07"/>
    <w:rsid w:val="00B3115F"/>
    <w:rsid w:val="00BC7E93"/>
    <w:rsid w:val="00C640C6"/>
    <w:rsid w:val="00E13D15"/>
    <w:rsid w:val="00EE74C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DB9B8"/>
  <w15:chartTrackingRefBased/>
  <w15:docId w15:val="{B17DBEDC-0048-41D8-8EC0-9CE235FD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E40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E40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E407D"/>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E407D"/>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E407D"/>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E407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E407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E407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E407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E407D"/>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E407D"/>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E407D"/>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E407D"/>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E407D"/>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E407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E407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E407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E407D"/>
    <w:rPr>
      <w:rFonts w:eastAsiaTheme="majorEastAsia" w:cstheme="majorBidi"/>
      <w:color w:val="272727" w:themeColor="text1" w:themeTint="D8"/>
    </w:rPr>
  </w:style>
  <w:style w:type="paragraph" w:styleId="Titolo">
    <w:name w:val="Title"/>
    <w:basedOn w:val="Normale"/>
    <w:next w:val="Normale"/>
    <w:link w:val="TitoloCarattere"/>
    <w:uiPriority w:val="10"/>
    <w:qFormat/>
    <w:rsid w:val="003E4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E407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E407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E407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E407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E407D"/>
    <w:rPr>
      <w:i/>
      <w:iCs/>
      <w:color w:val="404040" w:themeColor="text1" w:themeTint="BF"/>
    </w:rPr>
  </w:style>
  <w:style w:type="paragraph" w:styleId="Paragrafoelenco">
    <w:name w:val="List Paragraph"/>
    <w:basedOn w:val="Normale"/>
    <w:uiPriority w:val="34"/>
    <w:qFormat/>
    <w:rsid w:val="003E407D"/>
    <w:pPr>
      <w:ind w:left="720"/>
      <w:contextualSpacing/>
    </w:pPr>
  </w:style>
  <w:style w:type="character" w:styleId="Enfasiintensa">
    <w:name w:val="Intense Emphasis"/>
    <w:basedOn w:val="Carpredefinitoparagrafo"/>
    <w:uiPriority w:val="21"/>
    <w:qFormat/>
    <w:rsid w:val="003E407D"/>
    <w:rPr>
      <w:i/>
      <w:iCs/>
      <w:color w:val="2F5496" w:themeColor="accent1" w:themeShade="BF"/>
    </w:rPr>
  </w:style>
  <w:style w:type="paragraph" w:styleId="Citazioneintensa">
    <w:name w:val="Intense Quote"/>
    <w:basedOn w:val="Normale"/>
    <w:next w:val="Normale"/>
    <w:link w:val="CitazioneintensaCarattere"/>
    <w:uiPriority w:val="30"/>
    <w:qFormat/>
    <w:rsid w:val="003E40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E407D"/>
    <w:rPr>
      <w:i/>
      <w:iCs/>
      <w:color w:val="2F5496" w:themeColor="accent1" w:themeShade="BF"/>
    </w:rPr>
  </w:style>
  <w:style w:type="character" w:styleId="Riferimentointenso">
    <w:name w:val="Intense Reference"/>
    <w:basedOn w:val="Carpredefinitoparagrafo"/>
    <w:uiPriority w:val="32"/>
    <w:qFormat/>
    <w:rsid w:val="003E40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1185</Words>
  <Characters>6760</Characters>
  <Application>Microsoft Office Word</Application>
  <DocSecurity>4</DocSecurity>
  <Lines>56</Lines>
  <Paragraphs>15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cp:revision>
  <dcterms:created xsi:type="dcterms:W3CDTF">2025-04-07T06:42:00Z</dcterms:created>
  <dcterms:modified xsi:type="dcterms:W3CDTF">2025-04-07T06:42:00Z</dcterms:modified>
</cp:coreProperties>
</file>