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9567" w14:textId="61F6BF94" w:rsidR="0010346C" w:rsidRDefault="007E5893">
      <w:r>
        <w:t>Titolo: il presupposto pubblicitario del CUP di esclusiva competenza comunale</w:t>
      </w:r>
      <w:r w:rsidR="00AA3ED7">
        <w:t xml:space="preserve">. Sentenza n. 260 del 27 gennaio 2023 della Corte di Giustizia Tributaria di primo grado di Milano </w:t>
      </w:r>
    </w:p>
    <w:p w14:paraId="239F553D" w14:textId="126E62F3" w:rsidR="005C4DF9" w:rsidRDefault="007E5893" w:rsidP="00DF545E">
      <w:pPr>
        <w:jc w:val="both"/>
      </w:pPr>
      <w:r>
        <w:t>Più volte abbiamo scritto come il Legislatore nell’introdurre la disciplina del Canone Un</w:t>
      </w:r>
      <w:r w:rsidR="005C4DF9">
        <w:t>ic</w:t>
      </w:r>
      <w:r>
        <w:t xml:space="preserve">o </w:t>
      </w:r>
      <w:r w:rsidR="005C4DF9">
        <w:t xml:space="preserve">non </w:t>
      </w:r>
      <w:r w:rsidR="00DF545E">
        <w:t>sia riuscito a ben</w:t>
      </w:r>
      <w:r w:rsidR="005C4DF9">
        <w:t xml:space="preserve"> delimita</w:t>
      </w:r>
      <w:r w:rsidR="00DF545E">
        <w:t>re</w:t>
      </w:r>
      <w:r w:rsidR="005C4DF9">
        <w:t xml:space="preserve"> le competenze tra </w:t>
      </w:r>
      <w:r w:rsidR="009F1A5C">
        <w:t xml:space="preserve">i soggetti attivi individuati al comma 816 </w:t>
      </w:r>
      <w:r w:rsidR="009F1A5C">
        <w:t>della legge 160/2019</w:t>
      </w:r>
      <w:r w:rsidR="009F1A5C">
        <w:t>, ossia i</w:t>
      </w:r>
      <w:r w:rsidR="009F1A5C">
        <w:t xml:space="preserve"> </w:t>
      </w:r>
      <w:r w:rsidR="005C4DF9">
        <w:t xml:space="preserve">Comuni, </w:t>
      </w:r>
      <w:r w:rsidR="009F1A5C">
        <w:t xml:space="preserve">le </w:t>
      </w:r>
      <w:r w:rsidR="005C4DF9">
        <w:t xml:space="preserve">Province e </w:t>
      </w:r>
      <w:r w:rsidR="009F1A5C">
        <w:t xml:space="preserve">le </w:t>
      </w:r>
      <w:r w:rsidR="005C4DF9">
        <w:t xml:space="preserve">Città Metropolitane. A creare incertezza è stato sicuramente il testo del </w:t>
      </w:r>
      <w:r w:rsidR="009F1A5C">
        <w:t xml:space="preserve">successivo </w:t>
      </w:r>
      <w:r w:rsidR="005C4DF9">
        <w:t xml:space="preserve">comma 818 con il quale </w:t>
      </w:r>
      <w:r w:rsidR="00DF545E">
        <w:t xml:space="preserve">è stata </w:t>
      </w:r>
      <w:r w:rsidR="005C4DF9">
        <w:t>definit</w:t>
      </w:r>
      <w:r w:rsidR="00DF545E">
        <w:t>a</w:t>
      </w:r>
      <w:r w:rsidR="005C4DF9">
        <w:t xml:space="preserve"> la competenza comunale comprendendo tutti i tratti di strada situati all'interno di centri abitati con popolazione superiore a 10mila abitanti. Definizione criptica</w:t>
      </w:r>
      <w:r w:rsidR="0011156A" w:rsidRPr="0011156A">
        <w:t xml:space="preserve"> </w:t>
      </w:r>
      <w:r w:rsidR="0011156A">
        <w:t>e incompleta</w:t>
      </w:r>
      <w:r w:rsidR="005C4DF9">
        <w:t xml:space="preserve">, oggetto </w:t>
      </w:r>
      <w:r w:rsidR="009F1A5C">
        <w:t xml:space="preserve">peraltro </w:t>
      </w:r>
      <w:r w:rsidR="005C4DF9">
        <w:t xml:space="preserve">di </w:t>
      </w:r>
      <w:r w:rsidR="00DF545E">
        <w:t>recente modifica,</w:t>
      </w:r>
      <w:r w:rsidR="005C4DF9">
        <w:t xml:space="preserve"> che ha generato </w:t>
      </w:r>
      <w:r w:rsidR="009F1A5C">
        <w:t xml:space="preserve">parecchi </w:t>
      </w:r>
      <w:r w:rsidR="005C4DF9">
        <w:t xml:space="preserve">dubbi sulla sua reale portata. </w:t>
      </w:r>
    </w:p>
    <w:p w14:paraId="02A58C33" w14:textId="333B6D18" w:rsidR="00DF545E" w:rsidRDefault="00DF545E" w:rsidP="00DF545E">
      <w:pPr>
        <w:jc w:val="both"/>
      </w:pPr>
      <w:r>
        <w:t xml:space="preserve">In questi primi due anni di gestione, si era </w:t>
      </w:r>
      <w:r w:rsidR="0034477D">
        <w:t>già</w:t>
      </w:r>
      <w:r>
        <w:t xml:space="preserve"> diffuso l’orientamento che voleva la componente pubblicitaria di totale competenza dei comuni, su tutto il territorio comunale, indipendentemente dalla proprietà della strada da cui viene diffuso il messaggio. In questo senso il comma 818 </w:t>
      </w:r>
      <w:r w:rsidR="0034477D">
        <w:t xml:space="preserve">è sempre stato letto </w:t>
      </w:r>
      <w:r>
        <w:t>come rivolto esclusivamente alla componente di presupposto individuata alla lettera A del comma 819 della legge 160/2019</w:t>
      </w:r>
      <w:r w:rsidR="0034477D">
        <w:t>, ossia il presupposto legato all’occupazione di suolo pubblico</w:t>
      </w:r>
      <w:r>
        <w:t>.</w:t>
      </w:r>
    </w:p>
    <w:p w14:paraId="370E7995" w14:textId="560B0C54" w:rsidR="00DF545E" w:rsidRPr="00EE11AD" w:rsidRDefault="00DF545E" w:rsidP="00DF545E">
      <w:pPr>
        <w:jc w:val="both"/>
        <w:rPr>
          <w:i/>
          <w:iCs/>
        </w:rPr>
      </w:pPr>
      <w:r>
        <w:t xml:space="preserve">Anche il Mef, nella risposta a Telefisco 2022, </w:t>
      </w:r>
      <w:r w:rsidR="0034477D">
        <w:t>aveva</w:t>
      </w:r>
      <w:r>
        <w:t xml:space="preserve"> di fatto </w:t>
      </w:r>
      <w:r w:rsidR="0034477D">
        <w:t xml:space="preserve">già </w:t>
      </w:r>
      <w:r>
        <w:t xml:space="preserve">confermato questo </w:t>
      </w:r>
      <w:r w:rsidR="00AA3ED7">
        <w:t>orientamento</w:t>
      </w:r>
      <w:r>
        <w:t xml:space="preserve"> che vede un differente criterio di individuazione del soggetto attivo per i due </w:t>
      </w:r>
      <w:r w:rsidR="005E1CE2">
        <w:t xml:space="preserve">diversi </w:t>
      </w:r>
      <w:r>
        <w:t xml:space="preserve">presupposti. Il </w:t>
      </w:r>
      <w:r w:rsidR="00AA3ED7">
        <w:t>dipartimento del Ministero</w:t>
      </w:r>
      <w:r>
        <w:t xml:space="preserve"> </w:t>
      </w:r>
      <w:r w:rsidR="00FD5B7B">
        <w:t>aveva</w:t>
      </w:r>
      <w:r>
        <w:t xml:space="preserve"> affermato che </w:t>
      </w:r>
      <w:r w:rsidRPr="00EE11AD">
        <w:rPr>
          <w:i/>
          <w:iCs/>
        </w:rPr>
        <w:t>“nel caso di diffusione di un messaggio pubblicitario su un tratto di strada che attraversa un centro abitato con popolazione non superiore a 10.000 abitanti, e quindi di competenza della provincia, quest’ultimo ente è legittimato a chiedere il versamento del canone per l’occupazione del suolo, a norma del comma 819, lettera a)”</w:t>
      </w:r>
    </w:p>
    <w:p w14:paraId="323E2685" w14:textId="34D1D55D" w:rsidR="007E5893" w:rsidRDefault="00DF545E" w:rsidP="00DF545E">
      <w:pPr>
        <w:jc w:val="both"/>
      </w:pPr>
      <w:r>
        <w:t xml:space="preserve">Come dire, il Comune riscuoterà il presupposto pubblicitario, come del resto fa su tutto il territorio, mentre la </w:t>
      </w:r>
      <w:r w:rsidR="00EE11AD">
        <w:t>P</w:t>
      </w:r>
      <w:r>
        <w:t xml:space="preserve">rovincia, nei casi di occupazioni su proprie </w:t>
      </w:r>
      <w:r w:rsidR="00FD5B7B">
        <w:t>strade riscuoterà</w:t>
      </w:r>
      <w:r>
        <w:t xml:space="preserve"> il canone seguendo il presupposto legato all’occupazione di suolo pubblico.</w:t>
      </w:r>
    </w:p>
    <w:p w14:paraId="3C69637C" w14:textId="18CBFF60" w:rsidR="00EE11AD" w:rsidRDefault="00EE11AD" w:rsidP="00EE11AD">
      <w:pPr>
        <w:jc w:val="both"/>
      </w:pPr>
      <w:r>
        <w:t xml:space="preserve">Oggi, in linea con questa diffusa visione, troviamo </w:t>
      </w:r>
      <w:r w:rsidR="00FD5B7B">
        <w:t xml:space="preserve">pubblicata </w:t>
      </w:r>
      <w:r>
        <w:t xml:space="preserve">la prima sentenza </w:t>
      </w:r>
      <w:r w:rsidR="00AA3ED7">
        <w:t>sull’argomento, emessa dalla</w:t>
      </w:r>
      <w:r>
        <w:t xml:space="preserve"> </w:t>
      </w:r>
      <w:r w:rsidRPr="00EE11AD">
        <w:t xml:space="preserve">Corte di Giustizia Tributaria di I° </w:t>
      </w:r>
      <w:r>
        <w:t>grado</w:t>
      </w:r>
      <w:r w:rsidRPr="00EE11AD">
        <w:t xml:space="preserve"> </w:t>
      </w:r>
      <w:r>
        <w:t xml:space="preserve">di </w:t>
      </w:r>
      <w:r w:rsidRPr="00EE11AD">
        <w:t>Milano</w:t>
      </w:r>
      <w:r>
        <w:t xml:space="preserve">. Si tratta della </w:t>
      </w:r>
      <w:r w:rsidRPr="00AA3ED7">
        <w:rPr>
          <w:u w:val="single"/>
        </w:rPr>
        <w:t>sentenza n.260 del 27/1/2023</w:t>
      </w:r>
      <w:r>
        <w:t xml:space="preserve"> con la quale i giudici tributari hanno deciso una controversia</w:t>
      </w:r>
      <w:r w:rsidR="00FD5B7B">
        <w:t>,</w:t>
      </w:r>
      <w:r>
        <w:t xml:space="preserve"> affermando che la Provincia o la Città Metropolitana continuerà, come in passato, a riscuotere il canone relativo alle occupazioni su strade provinciali </w:t>
      </w:r>
      <w:r w:rsidR="00346BB9">
        <w:t>di loro competenza</w:t>
      </w:r>
      <w:r>
        <w:t xml:space="preserve">, senza alcuna </w:t>
      </w:r>
      <w:r w:rsidR="005E1CE2">
        <w:t>pretesa</w:t>
      </w:r>
      <w:r>
        <w:t xml:space="preserve"> sul presupposto pubblicitario ad esclusivo appannaggio del Comune.</w:t>
      </w:r>
    </w:p>
    <w:p w14:paraId="2A516706" w14:textId="567F4C20" w:rsidR="00EE11AD" w:rsidRDefault="00EE11AD" w:rsidP="00EE11AD">
      <w:pPr>
        <w:jc w:val="both"/>
      </w:pPr>
      <w:r>
        <w:t xml:space="preserve">Per i giudici </w:t>
      </w:r>
      <w:r w:rsidR="005E1CE2">
        <w:t xml:space="preserve">milanesi </w:t>
      </w:r>
      <w:r>
        <w:t xml:space="preserve">è del tutto irrilevante la circostanza che l’installazione dei mezzi pubblicitari su strade provinciali venga autorizzata dalla </w:t>
      </w:r>
      <w:r w:rsidR="005E1CE2">
        <w:t>P</w:t>
      </w:r>
      <w:r>
        <w:t>rovincia/Città Metropolitana. Tale competenza autorizzatoria, discendente dall’a</w:t>
      </w:r>
      <w:r w:rsidR="00346BB9">
        <w:t>rticolo</w:t>
      </w:r>
      <w:r>
        <w:t xml:space="preserve"> 23, 4° comma, del Codice della Strada, non comporta, infatti, il pagamento del canone per la diffusione di messaggi pubblicitari in favore della provincia (così come, prima, non implicava il pagamento dell’ICP), ma soltanto il pagamento del canone per l’occupazione di suolo pubblico</w:t>
      </w:r>
      <w:r w:rsidR="00ED0FE2">
        <w:t>.</w:t>
      </w:r>
    </w:p>
    <w:p w14:paraId="6555891D" w14:textId="77777777" w:rsidR="00825B5E" w:rsidRDefault="00ED0FE2" w:rsidP="00ED0FE2">
      <w:pPr>
        <w:jc w:val="both"/>
      </w:pPr>
      <w:r>
        <w:t xml:space="preserve">La nozione di Canone “unico” non trova applicazione nel senso della fusione delle quote oggetto di prelievo di competenza di enti diversi, non essendo tale confluenza prevista da alcun passo della legge 160/2019. Quindi, la Provincia o la Città Metropolitana continuerà, come in passato, a riscuotere il canone relativo alle occupazioni su strade provinciali fuori dai centri abitati e sui tratti delle strade provinciali che corrono all'interno dei centri abitati dei Comuni con popolazione inferiore a 10.000 abitanti. </w:t>
      </w:r>
    </w:p>
    <w:p w14:paraId="3D607BBA" w14:textId="58AA764C" w:rsidR="00825B5E" w:rsidRDefault="00ED0FE2" w:rsidP="00ED0FE2">
      <w:pPr>
        <w:jc w:val="both"/>
      </w:pPr>
      <w:r>
        <w:t>Il comma 819 chiarisce che il canone è costituito da due autonomi presupposti, ovvero</w:t>
      </w:r>
      <w:r w:rsidR="00FD5B7B">
        <w:t>,</w:t>
      </w:r>
      <w:r>
        <w:t xml:space="preserve"> quello relativo all'occupazione delle aree appartenenti al demanio o al patrimonio</w:t>
      </w:r>
      <w:r w:rsidR="00825B5E">
        <w:t xml:space="preserve"> </w:t>
      </w:r>
      <w:r>
        <w:t>indisponibile degli enti e degli spazi soprastanti o sottostanti il suolo pubblico</w:t>
      </w:r>
      <w:r w:rsidR="00FD5B7B">
        <w:t>,</w:t>
      </w:r>
      <w:r>
        <w:t xml:space="preserve">  </w:t>
      </w:r>
      <w:r w:rsidR="00346BB9">
        <w:t xml:space="preserve">e </w:t>
      </w:r>
      <w:r>
        <w:t xml:space="preserve">quello relativo alla diffusione di messaggi pubblicitari, mediante impianti installati su aree appartenenti al demanio o al patrimonio indisponibile degli enti, su beni privati laddove siano visibili da luogo pubblico o aperto al pubblico del territorio comunale, ovvero all’esterno di veicoli adibiti a uso pubblico o a uso privato. </w:t>
      </w:r>
    </w:p>
    <w:p w14:paraId="3DC7B232" w14:textId="332BE3C1" w:rsidR="00346BB9" w:rsidRDefault="00825B5E" w:rsidP="00ED0FE2">
      <w:pPr>
        <w:jc w:val="both"/>
      </w:pPr>
      <w:r>
        <w:lastRenderedPageBreak/>
        <w:t>I</w:t>
      </w:r>
      <w:r w:rsidR="00ED0FE2">
        <w:t>l canone spettante alla Provincia o alla Città metropolitana ed il canone spettante</w:t>
      </w:r>
      <w:r>
        <w:t xml:space="preserve"> </w:t>
      </w:r>
      <w:r w:rsidR="00ED0FE2">
        <w:t>al Comune si basano su due presupposti autonomi e diversi; ogni ente è un autonomo soggetto attivo ed ha autonoma facoltà regolamentare</w:t>
      </w:r>
      <w:r>
        <w:t xml:space="preserve"> </w:t>
      </w:r>
      <w:r w:rsidR="00ED0FE2">
        <w:t>e</w:t>
      </w:r>
      <w:r>
        <w:t xml:space="preserve"> </w:t>
      </w:r>
      <w:r w:rsidR="00ED0FE2">
        <w:t>tariffaria</w:t>
      </w:r>
      <w:r w:rsidR="00346BB9">
        <w:t>.</w:t>
      </w:r>
      <w:r w:rsidR="00ED0FE2">
        <w:t xml:space="preserve"> </w:t>
      </w:r>
    </w:p>
    <w:p w14:paraId="2C047412" w14:textId="70FDC32E" w:rsidR="00ED0FE2" w:rsidRDefault="00346BB9" w:rsidP="00ED0FE2">
      <w:pPr>
        <w:jc w:val="both"/>
      </w:pPr>
      <w:r>
        <w:t xml:space="preserve">Ecco che </w:t>
      </w:r>
      <w:r w:rsidR="00ED0FE2">
        <w:t xml:space="preserve">il principio dell’assorbimento stabilito dal </w:t>
      </w:r>
      <w:r w:rsidR="005E1CE2">
        <w:t xml:space="preserve">successivo </w:t>
      </w:r>
      <w:r w:rsidR="00ED0FE2">
        <w:t>comma 820 non può che valere</w:t>
      </w:r>
      <w:r w:rsidR="00825B5E">
        <w:t xml:space="preserve"> </w:t>
      </w:r>
      <w:r w:rsidR="00ED0FE2">
        <w:t>nei confronti di un unico soggetto attivo, e quindi solo nei confronti del Comune, unica</w:t>
      </w:r>
      <w:r w:rsidR="00825B5E">
        <w:t xml:space="preserve"> </w:t>
      </w:r>
      <w:r w:rsidR="00ED0FE2">
        <w:t>ipotesi in cui la medesima occupazione può dar luogo sia ad un prelievo collegato</w:t>
      </w:r>
      <w:r w:rsidR="00825B5E">
        <w:t xml:space="preserve"> </w:t>
      </w:r>
      <w:r w:rsidR="00ED0FE2">
        <w:t>all’occupazione sia ad un prelievo collegato alla diffusione di messaggi pubblicitari</w:t>
      </w:r>
      <w:r w:rsidR="00825B5E">
        <w:t>.</w:t>
      </w:r>
    </w:p>
    <w:p w14:paraId="2519D41E" w14:textId="77777777" w:rsidR="00FD5B7B" w:rsidRDefault="005D7CC1" w:rsidP="00ED0FE2">
      <w:pPr>
        <w:jc w:val="both"/>
      </w:pPr>
      <w:r>
        <w:t xml:space="preserve">Nell’andare quindi a </w:t>
      </w:r>
      <w:r w:rsidR="00FD5B7B">
        <w:t xml:space="preserve">consolidare l’orientamento che vuole </w:t>
      </w:r>
      <w:r>
        <w:t>la competenza esclusiva dei Comuni in materia di prelievo sulla pubblicità, in continuità con quanto già avveniva in materia di Imposta Comunale sulla Pubblicità, non può essere ignorato</w:t>
      </w:r>
      <w:r w:rsidR="00FD5B7B">
        <w:t>,</w:t>
      </w:r>
      <w:r>
        <w:t xml:space="preserve"> in questa breve analisi</w:t>
      </w:r>
      <w:r w:rsidR="00FD5B7B">
        <w:t>,</w:t>
      </w:r>
      <w:r>
        <w:t xml:space="preserve"> come la Corte di Giustizia Tributaria</w:t>
      </w:r>
      <w:r w:rsidR="00AA4EDB">
        <w:t xml:space="preserve"> di Milano</w:t>
      </w:r>
      <w:r>
        <w:t xml:space="preserve"> si sia espressa in materia di Canone Unico Patrimoniale. </w:t>
      </w:r>
    </w:p>
    <w:p w14:paraId="0ECA355D" w14:textId="04BDD4FD" w:rsidR="00AA4EDB" w:rsidRDefault="00FD5B7B" w:rsidP="00ED0FE2">
      <w:pPr>
        <w:jc w:val="both"/>
      </w:pPr>
      <w:r>
        <w:t>Infatti, né</w:t>
      </w:r>
      <w:r w:rsidR="005D7CC1">
        <w:t xml:space="preserve"> nel ricorso, </w:t>
      </w:r>
      <w:r>
        <w:t xml:space="preserve">né </w:t>
      </w:r>
      <w:r w:rsidR="005D7CC1">
        <w:t xml:space="preserve">nelle memorie difensive e tantomeno </w:t>
      </w:r>
      <w:r w:rsidR="00AA4EDB">
        <w:t>n</w:t>
      </w:r>
      <w:r w:rsidR="005D7CC1">
        <w:t>e</w:t>
      </w:r>
      <w:r>
        <w:t xml:space="preserve">l testo della </w:t>
      </w:r>
      <w:r w:rsidR="005D7CC1">
        <w:t>sentenza</w:t>
      </w:r>
      <w:r w:rsidR="00AA4EDB">
        <w:t xml:space="preserve"> stessa</w:t>
      </w:r>
      <w:r>
        <w:t>,</w:t>
      </w:r>
      <w:r w:rsidR="005D7CC1">
        <w:t xml:space="preserve"> si affronta la questione della giurisdizione. </w:t>
      </w:r>
      <w:r w:rsidR="005E2B42">
        <w:t>Tema, tuttavia,</w:t>
      </w:r>
      <w:r w:rsidR="00AA4EDB">
        <w:t xml:space="preserve"> </w:t>
      </w:r>
      <w:r w:rsidR="005D7CC1">
        <w:t>molto dibattuto</w:t>
      </w:r>
      <w:r>
        <w:t xml:space="preserve"> in questi mesi</w:t>
      </w:r>
      <w:r w:rsidR="005D7CC1">
        <w:t xml:space="preserve">, soprattutto per quanto riguarda il presupposto pubblicitario, che alcuni vedono </w:t>
      </w:r>
      <w:r w:rsidR="005E2B42">
        <w:t xml:space="preserve">da sempre </w:t>
      </w:r>
      <w:r w:rsidR="005D7CC1">
        <w:t>naturalmente attratto nella sfera delle entrate di natura tributaria e quindi ricadente</w:t>
      </w:r>
      <w:r>
        <w:t xml:space="preserve"> proprio</w:t>
      </w:r>
      <w:r w:rsidR="005D7CC1">
        <w:t xml:space="preserve"> nella giurisdizione delle Corti Tributarie</w:t>
      </w:r>
      <w:r>
        <w:t xml:space="preserve">. Fino ad oggi però l’orientamento prevalente, dettato dallo stesso Ministero delle Finanze, è stato quello che </w:t>
      </w:r>
      <w:r w:rsidR="005D7CC1">
        <w:t>ved</w:t>
      </w:r>
      <w:r>
        <w:t xml:space="preserve">e la nuova entrata </w:t>
      </w:r>
      <w:r w:rsidR="005D7CC1">
        <w:t>incardinat</w:t>
      </w:r>
      <w:r>
        <w:t>a</w:t>
      </w:r>
      <w:r w:rsidR="005D7CC1">
        <w:t xml:space="preserve"> nella giustizia ordinaria</w:t>
      </w:r>
      <w:r>
        <w:t>,</w:t>
      </w:r>
      <w:r w:rsidR="005D7CC1">
        <w:t xml:space="preserve"> </w:t>
      </w:r>
      <w:r w:rsidR="00AA4EDB">
        <w:t>in ragione della patrimonialità del</w:t>
      </w:r>
      <w:r>
        <w:t xml:space="preserve"> Canone Unico,</w:t>
      </w:r>
      <w:r w:rsidR="00AA4EDB">
        <w:t xml:space="preserve"> che lo stesso legislatore ha battezzato nel comma 816 </w:t>
      </w:r>
      <w:r>
        <w:t xml:space="preserve">appunto </w:t>
      </w:r>
      <w:r w:rsidR="00AA4EDB">
        <w:t>come “</w:t>
      </w:r>
      <w:r>
        <w:t>P</w:t>
      </w:r>
      <w:r w:rsidR="00AA4EDB">
        <w:t xml:space="preserve">atrimoniale”. </w:t>
      </w:r>
    </w:p>
    <w:p w14:paraId="6CD119F1" w14:textId="470BC439" w:rsidR="00AA4EDB" w:rsidRDefault="00AA4EDB" w:rsidP="00ED0FE2">
      <w:pPr>
        <w:jc w:val="both"/>
      </w:pPr>
      <w:r>
        <w:t xml:space="preserve">Questa sentenza farà </w:t>
      </w:r>
      <w:r w:rsidR="00FD5B7B">
        <w:t>certamente</w:t>
      </w:r>
      <w:r>
        <w:t xml:space="preserve"> discutere</w:t>
      </w:r>
      <w:r w:rsidR="00FD5B7B">
        <w:t>, probabilmente più per la questione di competenza dei giudici che nel merito della vertenza</w:t>
      </w:r>
      <w:r w:rsidR="00E5306C">
        <w:t xml:space="preserve"> stessa. Aspettiamo dunque di </w:t>
      </w:r>
      <w:r w:rsidR="005E2B42">
        <w:t>vedere quale</w:t>
      </w:r>
      <w:r>
        <w:t xml:space="preserve"> seguito</w:t>
      </w:r>
      <w:r w:rsidR="00FD5B7B">
        <w:t xml:space="preserve"> troverà</w:t>
      </w:r>
      <w:r>
        <w:t xml:space="preserve"> </w:t>
      </w:r>
      <w:r w:rsidR="00E5306C">
        <w:t>nelle</w:t>
      </w:r>
      <w:r>
        <w:t xml:space="preserve"> altre sezioni e in altri territori del paese, andando </w:t>
      </w:r>
      <w:r w:rsidR="00E5306C">
        <w:t xml:space="preserve">chissà </w:t>
      </w:r>
      <w:r>
        <w:t>a riscrivere la giusta competenza in materia di contenzioso</w:t>
      </w:r>
      <w:r w:rsidR="00E5306C">
        <w:t>;</w:t>
      </w:r>
      <w:r>
        <w:t xml:space="preserve"> </w:t>
      </w:r>
      <w:r w:rsidR="00E5306C">
        <w:t>t</w:t>
      </w:r>
      <w:r>
        <w:t xml:space="preserve">ema </w:t>
      </w:r>
      <w:r w:rsidR="00E5306C">
        <w:t xml:space="preserve">così </w:t>
      </w:r>
      <w:r>
        <w:t>importante per gli uffici entrate degli enti locali chiamati ad emettere i propri provvedimenti</w:t>
      </w:r>
      <w:r w:rsidR="00E5306C">
        <w:t>,</w:t>
      </w:r>
      <w:r>
        <w:t xml:space="preserve"> </w:t>
      </w:r>
      <w:r w:rsidR="00E5306C">
        <w:t>per il recupero del canone</w:t>
      </w:r>
      <w:r w:rsidR="005E2B42">
        <w:t xml:space="preserve"> e dell’indennità,</w:t>
      </w:r>
      <w:r w:rsidR="00E5306C">
        <w:t xml:space="preserve"> </w:t>
      </w:r>
      <w:r>
        <w:t xml:space="preserve">sotto forma di Avvisi di accertamento Esecutivi </w:t>
      </w:r>
      <w:r w:rsidR="005E2B42">
        <w:t xml:space="preserve">secondo le regole dettate dal </w:t>
      </w:r>
      <w:r>
        <w:t xml:space="preserve">comma 792 della legge 160/2019. </w:t>
      </w:r>
    </w:p>
    <w:p w14:paraId="204F8E4F" w14:textId="77777777" w:rsidR="005D7CC1" w:rsidRDefault="005D7CC1" w:rsidP="00ED0FE2">
      <w:pPr>
        <w:jc w:val="both"/>
      </w:pPr>
    </w:p>
    <w:p w14:paraId="3C4366FD" w14:textId="77777777" w:rsidR="00346BB9" w:rsidRDefault="00346BB9" w:rsidP="00ED0FE2">
      <w:pPr>
        <w:jc w:val="both"/>
      </w:pPr>
    </w:p>
    <w:sectPr w:rsidR="00346B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A7"/>
    <w:rsid w:val="0010346C"/>
    <w:rsid w:val="0011156A"/>
    <w:rsid w:val="002B42A7"/>
    <w:rsid w:val="0034477D"/>
    <w:rsid w:val="00346BB9"/>
    <w:rsid w:val="005C4DF9"/>
    <w:rsid w:val="005D7CC1"/>
    <w:rsid w:val="005E1CE2"/>
    <w:rsid w:val="005E2B42"/>
    <w:rsid w:val="007E5893"/>
    <w:rsid w:val="00825B5E"/>
    <w:rsid w:val="009A3576"/>
    <w:rsid w:val="009F1A5C"/>
    <w:rsid w:val="00AA3ED7"/>
    <w:rsid w:val="00AA4EDB"/>
    <w:rsid w:val="00DF545E"/>
    <w:rsid w:val="00E5306C"/>
    <w:rsid w:val="00ED0FE2"/>
    <w:rsid w:val="00EE11AD"/>
    <w:rsid w:val="00FD5B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8D42"/>
  <w15:chartTrackingRefBased/>
  <w15:docId w15:val="{30EC6DDE-D338-4237-A8D9-8C950246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91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Pages>
  <Words>984</Words>
  <Characters>5610</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14</cp:revision>
  <dcterms:created xsi:type="dcterms:W3CDTF">2023-02-11T15:11:00Z</dcterms:created>
  <dcterms:modified xsi:type="dcterms:W3CDTF">2023-02-12T14:48:00Z</dcterms:modified>
</cp:coreProperties>
</file>