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D8FE7" w14:textId="77777777" w:rsidR="00BF0622" w:rsidRPr="007B7AD1" w:rsidRDefault="00BF0622" w:rsidP="00BF0622">
      <w:pPr>
        <w:jc w:val="both"/>
        <w:rPr>
          <w:rFonts w:ascii="Times New Roman" w:hAnsi="Times New Roman" w:cs="Times New Roman"/>
          <w:sz w:val="24"/>
          <w:szCs w:val="24"/>
        </w:rPr>
      </w:pPr>
      <w:r w:rsidRPr="007B7AD1">
        <w:rPr>
          <w:rFonts w:ascii="Times New Roman" w:hAnsi="Times New Roman" w:cs="Times New Roman"/>
          <w:sz w:val="24"/>
          <w:szCs w:val="24"/>
        </w:rPr>
        <w:t>In materia di presupposto pubblicitario</w:t>
      </w:r>
      <w:r>
        <w:rPr>
          <w:rFonts w:ascii="Times New Roman" w:hAnsi="Times New Roman" w:cs="Times New Roman"/>
          <w:sz w:val="24"/>
          <w:szCs w:val="24"/>
        </w:rPr>
        <w:t>, si deve richiamare la lettera B del comma 819 della Legge 160/2019. Il comma recita</w:t>
      </w:r>
      <w:r w:rsidRPr="007B7AD1">
        <w:rPr>
          <w:rFonts w:ascii="Times New Roman" w:hAnsi="Times New Roman" w:cs="Times New Roman"/>
          <w:i/>
          <w:sz w:val="24"/>
          <w:szCs w:val="24"/>
        </w:rPr>
        <w:t xml:space="preserve">:” la diffusione di messaggi pubblicitari, anche abusiva, mediante impianti installati su aree appartenenti al demanio o al patrimonio indisponibile degli enti, su beni privati laddove siano visibili da luogo pubblico o aperto al pubblico del territorio comunale, ovvero all’esterno di veicoli adibiti a uso pubblico o a uso privato” </w:t>
      </w:r>
    </w:p>
    <w:p w14:paraId="33363FE6" w14:textId="77777777" w:rsidR="00BF0622" w:rsidRDefault="00BF0622" w:rsidP="00BF0622">
      <w:pPr>
        <w:jc w:val="both"/>
        <w:rPr>
          <w:rFonts w:ascii="Times New Roman" w:hAnsi="Times New Roman" w:cs="Times New Roman"/>
          <w:sz w:val="24"/>
          <w:szCs w:val="24"/>
        </w:rPr>
      </w:pPr>
      <w:r>
        <w:rPr>
          <w:rFonts w:ascii="Times New Roman" w:hAnsi="Times New Roman" w:cs="Times New Roman"/>
          <w:sz w:val="24"/>
          <w:szCs w:val="24"/>
        </w:rPr>
        <w:t>Una definizione dell’ambito applicativo poco precisa ma che sostanzialmente richiama quanto già previsto in regime di Imposta sulla Pubblicità. Del resto l’attuale canone affonda pesantemente le radici nei precedenti prelievi, così che le considerazioni già fatte in ambito di ICP possono facilmente essere mutuate in ambito CUP.</w:t>
      </w:r>
    </w:p>
    <w:p w14:paraId="433E301F" w14:textId="77777777" w:rsidR="00BF0622" w:rsidRDefault="00BF0622" w:rsidP="00BF0622">
      <w:pPr>
        <w:jc w:val="both"/>
        <w:rPr>
          <w:rFonts w:ascii="Times New Roman" w:hAnsi="Times New Roman" w:cs="Times New Roman"/>
          <w:sz w:val="24"/>
          <w:szCs w:val="24"/>
        </w:rPr>
      </w:pPr>
      <w:r>
        <w:rPr>
          <w:rFonts w:ascii="Times New Roman" w:hAnsi="Times New Roman" w:cs="Times New Roman"/>
          <w:sz w:val="24"/>
          <w:szCs w:val="24"/>
        </w:rPr>
        <w:t>Ciò che diventa rilevante è la volontà da parte del soggetto passivo di diffondere un messaggio pubblicitario, di creare una attrattiva rivolta al pubblico, in modo da creare un effetto pubblicitario per la propria attività, effetto che si può anche intendere con il miglioramento della propria immagine.</w:t>
      </w:r>
    </w:p>
    <w:p w14:paraId="43C8FFBC" w14:textId="77777777" w:rsidR="00BF0622" w:rsidRPr="005B2597"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La Cassazione a più riprese ha affermato che soggetto all’imposta</w:t>
      </w:r>
      <w:r>
        <w:rPr>
          <w:rFonts w:ascii="Times New Roman" w:hAnsi="Times New Roman" w:cs="Times New Roman"/>
          <w:sz w:val="24"/>
          <w:szCs w:val="24"/>
        </w:rPr>
        <w:t xml:space="preserve"> (oggi al </w:t>
      </w:r>
      <w:proofErr w:type="gramStart"/>
      <w:r>
        <w:rPr>
          <w:rFonts w:ascii="Times New Roman" w:hAnsi="Times New Roman" w:cs="Times New Roman"/>
          <w:sz w:val="24"/>
          <w:szCs w:val="24"/>
        </w:rPr>
        <w:t xml:space="preserve">canone) </w:t>
      </w:r>
      <w:r w:rsidRPr="005B2597">
        <w:rPr>
          <w:rFonts w:ascii="Times New Roman" w:hAnsi="Times New Roman" w:cs="Times New Roman"/>
          <w:sz w:val="24"/>
          <w:szCs w:val="24"/>
        </w:rPr>
        <w:t xml:space="preserve"> sia</w:t>
      </w:r>
      <w:proofErr w:type="gramEnd"/>
      <w:r w:rsidRPr="005B2597">
        <w:rPr>
          <w:rFonts w:ascii="Times New Roman" w:hAnsi="Times New Roman" w:cs="Times New Roman"/>
          <w:sz w:val="24"/>
          <w:szCs w:val="24"/>
        </w:rPr>
        <w:t xml:space="preserve"> qualsiasi mezzo di comunicazione con il pubblico, il quale risulti, indipendentemente dalla ragione e finalità della sua adozione, oggettivamente idoneo a far conoscere indiscriminatamente alla massa indeterminata di possibili acquirenti ed utenti il nome o il prodotto dell’azienda (cfr. Cassazione n. 8220 del 22.07.1993).</w:t>
      </w:r>
    </w:p>
    <w:p w14:paraId="1107AD69" w14:textId="77777777" w:rsidR="00BF0622"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Concetto che ritroviamo anche nella  sentenza di Cassazione  n. 17852 del 03.09.2004, laddove recita: “… in definitiva, è soggetto ad imposta sulla pubblicità qualsiasi mezzo di comunicazione con pubblico, il quale – indipendentemente dalla ragione e finalità della sua adozione – risulti obbiettivamente idoneo a far conoscere indiscriminatamente alla massa indeterminata di possibili acquirenti ed utenti il nome, l’attività ed il prodotto di un’azienda, restando irrilevante che detto mezzo di comunicazione non assolva pure una funzione reclamistica o propagandistica”.</w:t>
      </w:r>
    </w:p>
    <w:p w14:paraId="6E944E03" w14:textId="77777777" w:rsidR="00BF0622" w:rsidRPr="005B2597"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 xml:space="preserve">In generale quando siamo di fronte ad una iniziativa potenzialmente pubblicitaria rappresentata da foto, disegni, </w:t>
      </w:r>
      <w:proofErr w:type="spellStart"/>
      <w:r w:rsidRPr="005B2597">
        <w:rPr>
          <w:rFonts w:ascii="Times New Roman" w:hAnsi="Times New Roman" w:cs="Times New Roman"/>
          <w:sz w:val="24"/>
          <w:szCs w:val="24"/>
        </w:rPr>
        <w:t>ecc</w:t>
      </w:r>
      <w:proofErr w:type="spellEnd"/>
      <w:r w:rsidRPr="005B2597">
        <w:rPr>
          <w:rFonts w:ascii="Times New Roman" w:hAnsi="Times New Roman" w:cs="Times New Roman"/>
          <w:sz w:val="24"/>
          <w:szCs w:val="24"/>
        </w:rPr>
        <w:t>… possiamo porci queste domande:</w:t>
      </w:r>
    </w:p>
    <w:p w14:paraId="4A81C41F" w14:textId="77777777" w:rsidR="00BF0622" w:rsidRPr="005B2597"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w:t>
      </w:r>
      <w:r w:rsidRPr="005B2597">
        <w:rPr>
          <w:rFonts w:ascii="Times New Roman" w:hAnsi="Times New Roman" w:cs="Times New Roman"/>
          <w:sz w:val="24"/>
          <w:szCs w:val="24"/>
        </w:rPr>
        <w:tab/>
        <w:t xml:space="preserve">quali sono le motivazioni che hanno indotto ad esporre le immagini? </w:t>
      </w:r>
    </w:p>
    <w:p w14:paraId="6F4DBCFD" w14:textId="77777777" w:rsidR="00BF0622" w:rsidRPr="005B2597"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w:t>
      </w:r>
      <w:r w:rsidRPr="005B2597">
        <w:rPr>
          <w:rFonts w:ascii="Times New Roman" w:hAnsi="Times New Roman" w:cs="Times New Roman"/>
          <w:sz w:val="24"/>
          <w:szCs w:val="24"/>
        </w:rPr>
        <w:tab/>
        <w:t>ciò che viene rappresentato svolge funzione di richiamo all’occhio distratto del passante?</w:t>
      </w:r>
    </w:p>
    <w:p w14:paraId="14582D0D" w14:textId="77777777" w:rsidR="00BF0622" w:rsidRPr="005B2597"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w:t>
      </w:r>
      <w:r w:rsidRPr="005B2597">
        <w:rPr>
          <w:rFonts w:ascii="Times New Roman" w:hAnsi="Times New Roman" w:cs="Times New Roman"/>
          <w:sz w:val="24"/>
          <w:szCs w:val="24"/>
        </w:rPr>
        <w:tab/>
        <w:t>esiste relazione tra quanto esposto e l’attività esercitata?</w:t>
      </w:r>
    </w:p>
    <w:p w14:paraId="15C4F802" w14:textId="77777777" w:rsidR="00BF0622" w:rsidRDefault="00BF0622" w:rsidP="00BF0622">
      <w:pPr>
        <w:jc w:val="both"/>
        <w:rPr>
          <w:rFonts w:ascii="Times New Roman" w:hAnsi="Times New Roman" w:cs="Times New Roman"/>
          <w:sz w:val="24"/>
          <w:szCs w:val="24"/>
        </w:rPr>
      </w:pPr>
      <w:r w:rsidRPr="005B2597">
        <w:rPr>
          <w:rFonts w:ascii="Times New Roman" w:hAnsi="Times New Roman" w:cs="Times New Roman"/>
          <w:sz w:val="24"/>
          <w:szCs w:val="24"/>
        </w:rPr>
        <w:t>Rispondendo a queste tre domande sarà più facile capire ciò che possiamo ritenere all’interno del perimetro del presupposto e cosa no.</w:t>
      </w:r>
    </w:p>
    <w:p w14:paraId="685598AB" w14:textId="77777777" w:rsidR="005B41C8" w:rsidRDefault="005B41C8"/>
    <w:sectPr w:rsidR="005B41C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81"/>
    <w:rsid w:val="005B41C8"/>
    <w:rsid w:val="00BF0622"/>
    <w:rsid w:val="00CE34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4EB32-EAC2-4A57-8113-3E414B47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F0622"/>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cp:revision>
  <dcterms:created xsi:type="dcterms:W3CDTF">2022-07-14T11:13:00Z</dcterms:created>
  <dcterms:modified xsi:type="dcterms:W3CDTF">2022-07-14T11:13:00Z</dcterms:modified>
</cp:coreProperties>
</file>