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AF8C9" w14:textId="536B425E" w:rsidR="00060149" w:rsidRDefault="00C93A46">
      <w:r>
        <w:t xml:space="preserve">Titolo: </w:t>
      </w:r>
      <w:r w:rsidRPr="00C93A46">
        <w:t xml:space="preserve">l'autonomia </w:t>
      </w:r>
      <w:r w:rsidR="00F80EF9">
        <w:t xml:space="preserve">condizionata </w:t>
      </w:r>
      <w:r w:rsidRPr="00C93A46">
        <w:t>degli enti nel definire il proprio impianto tariffario</w:t>
      </w:r>
      <w:r w:rsidR="004017B3">
        <w:t>. Vietato stabilire tariffe sproporzionate.</w:t>
      </w:r>
    </w:p>
    <w:p w14:paraId="64CE6622" w14:textId="27CEC3A6" w:rsidR="00C93A46" w:rsidRDefault="00C93A46">
      <w:r>
        <w:t>Di Alessandro Merciari</w:t>
      </w:r>
    </w:p>
    <w:p w14:paraId="24457107" w14:textId="70AB0292" w:rsidR="00B73296" w:rsidRDefault="00F80EF9" w:rsidP="00AF04DF">
      <w:pPr>
        <w:jc w:val="both"/>
      </w:pPr>
      <w:r>
        <w:t>Importante</w:t>
      </w:r>
      <w:r w:rsidR="00B73296">
        <w:t xml:space="preserve"> sentenza del TAR per la Sicilia</w:t>
      </w:r>
      <w:r>
        <w:t>,</w:t>
      </w:r>
      <w:r w:rsidR="00B73296">
        <w:t xml:space="preserve"> sezione staccata di Catania, nella quale si affronta il tema della giusta definizione </w:t>
      </w:r>
      <w:r>
        <w:t>tariffaria</w:t>
      </w:r>
      <w:r w:rsidR="00B73296">
        <w:t xml:space="preserve"> CUP deliberata dai </w:t>
      </w:r>
      <w:r>
        <w:t>diversi</w:t>
      </w:r>
      <w:r w:rsidR="00B73296">
        <w:t xml:space="preserve"> Enti locali.</w:t>
      </w:r>
    </w:p>
    <w:p w14:paraId="2294BD1E" w14:textId="06678733" w:rsidR="00B73296" w:rsidRDefault="00B73296" w:rsidP="00AF04DF">
      <w:pPr>
        <w:jc w:val="both"/>
      </w:pPr>
      <w:r>
        <w:t xml:space="preserve">I giudici amministrativi, nella sentenza 2715 del 18 settembre 2025, </w:t>
      </w:r>
      <w:r w:rsidR="00AF04DF">
        <w:t>analizzano</w:t>
      </w:r>
      <w:r>
        <w:t xml:space="preserve"> la deliberazione di Giunta di un </w:t>
      </w:r>
      <w:r w:rsidR="00F80EF9">
        <w:t>c</w:t>
      </w:r>
      <w:r>
        <w:t xml:space="preserve">omune </w:t>
      </w:r>
      <w:r w:rsidR="00F80EF9">
        <w:t>siciliano</w:t>
      </w:r>
      <w:r>
        <w:t xml:space="preserve"> con la quale sono state approvate le tariffe CUP per l’anno 2024, fissando una tariffa base</w:t>
      </w:r>
      <w:r w:rsidR="00AF04DF">
        <w:t>,</w:t>
      </w:r>
      <w:r>
        <w:t xml:space="preserve"> su</w:t>
      </w:r>
      <w:r w:rsidR="00AF04DF">
        <w:t xml:space="preserve">lla quale </w:t>
      </w:r>
      <w:r>
        <w:t>poi costruire il proprio imp</w:t>
      </w:r>
      <w:r w:rsidR="00AF04DF">
        <w:t>i</w:t>
      </w:r>
      <w:r>
        <w:t>anto tariffari</w:t>
      </w:r>
      <w:r w:rsidR="00F80EF9">
        <w:t>,</w:t>
      </w:r>
      <w:r>
        <w:t xml:space="preserve"> pari a Euro 150,00. Somma </w:t>
      </w:r>
      <w:r w:rsidR="00F80EF9">
        <w:t xml:space="preserve">evidentemente </w:t>
      </w:r>
      <w:r>
        <w:t xml:space="preserve">molto lontana dalla tariffa standard prevista dal Legislatore </w:t>
      </w:r>
      <w:r w:rsidR="00F80EF9">
        <w:t xml:space="preserve">nella disciplina istitutiva dell’entrata. </w:t>
      </w:r>
      <w:r>
        <w:t xml:space="preserve"> </w:t>
      </w:r>
    </w:p>
    <w:p w14:paraId="56B80E19" w14:textId="11463A2C" w:rsidR="00AF04DF" w:rsidRDefault="00F80EF9" w:rsidP="00AF04DF">
      <w:pPr>
        <w:jc w:val="both"/>
      </w:pPr>
      <w:r>
        <w:t>I motivi di</w:t>
      </w:r>
      <w:r w:rsidR="00AF04DF">
        <w:t xml:space="preserve"> ricorso</w:t>
      </w:r>
      <w:r>
        <w:t xml:space="preserve"> presentati dalla ricorrente</w:t>
      </w:r>
      <w:r w:rsidR="00AF04DF">
        <w:t xml:space="preserve">, </w:t>
      </w:r>
      <w:r>
        <w:t>fanno riferimento all’</w:t>
      </w:r>
      <w:r w:rsidR="00AF04DF">
        <w:t xml:space="preserve">illegittimità dell’adozione da parte dell’ente locale </w:t>
      </w:r>
      <w:r>
        <w:t>di una</w:t>
      </w:r>
      <w:r w:rsidR="00AF04DF">
        <w:t xml:space="preserve"> tariffa base pari a Euro 150,00 non tenendo in considerazione le </w:t>
      </w:r>
      <w:r>
        <w:t>disposizioni</w:t>
      </w:r>
      <w:r w:rsidR="00AF04DF">
        <w:t xml:space="preserve"> in materia di </w:t>
      </w:r>
      <w:r>
        <w:t>tariffa</w:t>
      </w:r>
      <w:r w:rsidR="00AF04DF">
        <w:t xml:space="preserve"> standard fissate dal Legislatore al comma 826 della L. 160/2019.</w:t>
      </w:r>
    </w:p>
    <w:p w14:paraId="37B8C41F" w14:textId="3D06186A" w:rsidR="00AF04DF" w:rsidRDefault="00AF04DF" w:rsidP="00AF04DF">
      <w:pPr>
        <w:jc w:val="both"/>
      </w:pPr>
      <w:r>
        <w:t>Vengono in particolare contestate le valutazioni adottate dalla Giunta Comunale nel definire le tariffe CUP</w:t>
      </w:r>
      <w:r w:rsidR="00F80EF9">
        <w:t xml:space="preserve"> valutate dalla ricorrente come</w:t>
      </w:r>
      <w:r>
        <w:t>: abnormi, discriminatorie, irragionevoli e non proporzionate.</w:t>
      </w:r>
      <w:r w:rsidR="00F80EF9">
        <w:t xml:space="preserve"> Le uniche motivazioni riportate in delibera sarebbero da ricondurre </w:t>
      </w:r>
      <w:r>
        <w:t xml:space="preserve">esclusivamente in ragione del rispetto del comma </w:t>
      </w:r>
      <w:r w:rsidR="00F80EF9">
        <w:t>8</w:t>
      </w:r>
      <w:r>
        <w:t>17 che</w:t>
      </w:r>
      <w:r w:rsidR="00F80EF9">
        <w:t>, come noto,</w:t>
      </w:r>
      <w:r>
        <w:t xml:space="preserve"> </w:t>
      </w:r>
      <w:r w:rsidR="00F80EF9">
        <w:t>aveva</w:t>
      </w:r>
      <w:r>
        <w:t xml:space="preserve"> imposto ai soggetti attivi la parità di gettito</w:t>
      </w:r>
      <w:r w:rsidR="00F80EF9">
        <w:t xml:space="preserve"> della nuova entrata</w:t>
      </w:r>
      <w:r>
        <w:t xml:space="preserve"> rispetto ai prelievi precedenti.</w:t>
      </w:r>
    </w:p>
    <w:p w14:paraId="09B9CE98" w14:textId="514D9C37" w:rsidR="00F80EF9" w:rsidRDefault="00F80EF9" w:rsidP="00AF04DF">
      <w:pPr>
        <w:jc w:val="both"/>
      </w:pPr>
      <w:r>
        <w:t>Viene quindi messa in discussione l’autonomia dell’ente locale nel definire il proprio impianto tariffario in relazione alle varie fattispecie imponibili.</w:t>
      </w:r>
    </w:p>
    <w:p w14:paraId="1399CDA1" w14:textId="48A67CD7" w:rsidR="00CA02EC" w:rsidRDefault="00CA02EC" w:rsidP="00AF04DF">
      <w:pPr>
        <w:jc w:val="both"/>
      </w:pPr>
      <w:r>
        <w:t xml:space="preserve">I giudici del TAR riprendono quanto già deciso in precedenza per la medesima controversia dalla </w:t>
      </w:r>
      <w:proofErr w:type="spellStart"/>
      <w:r>
        <w:t>c.g.a</w:t>
      </w:r>
      <w:proofErr w:type="spellEnd"/>
      <w:r>
        <w:t xml:space="preserve">. siciliana. </w:t>
      </w:r>
    </w:p>
    <w:p w14:paraId="46B88D96" w14:textId="3797B0F7" w:rsidR="00CA02EC" w:rsidRDefault="00CA02EC" w:rsidP="00AF04DF">
      <w:pPr>
        <w:jc w:val="both"/>
      </w:pPr>
      <w:r>
        <w:t>È bene precisare che, p</w:t>
      </w:r>
      <w:r w:rsidRPr="00CA02EC">
        <w:t>er proporre appello avverso una sentenza emessa dal </w:t>
      </w:r>
      <w:hyperlink r:id="rId4" w:tgtFrame="_blank" w:history="1">
        <w:r w:rsidRPr="00CA02EC">
          <w:t>TAR per la Sicilia</w:t>
        </w:r>
      </w:hyperlink>
      <w:r w:rsidRPr="00CA02EC">
        <w:t>, è necessario presentare ricorso alla sezione giurisdizionale del Consiglio di Giustizia Amministrativa (CGA) per la Regione Siciliana</w:t>
      </w:r>
      <w:r>
        <w:t xml:space="preserve"> e </w:t>
      </w:r>
      <w:r w:rsidRPr="00CA02EC">
        <w:t>non al Consiglio di Stato in sede centrale</w:t>
      </w:r>
      <w:r>
        <w:t>.</w:t>
      </w:r>
    </w:p>
    <w:p w14:paraId="5550D4A2" w14:textId="2AEBC7A2" w:rsidR="00CA02EC" w:rsidRDefault="00CA02EC" w:rsidP="00AF04DF">
      <w:pPr>
        <w:jc w:val="both"/>
      </w:pPr>
      <w:r>
        <w:t xml:space="preserve">Ebbene la C.G.A. </w:t>
      </w:r>
      <w:r w:rsidR="00EE41C9">
        <w:t>si espresse con sentenza favorevole alla contribuente rilevando la sproporzione del canone base adottato dal Comune rispetto a quanto fissato dal Legislatore. In quella sentenza, riportata nell’attuale emessa dal TAR Catania, si scriveva:</w:t>
      </w:r>
    </w:p>
    <w:p w14:paraId="37B07F82" w14:textId="1F2FB6C0" w:rsidR="00EE41C9" w:rsidRDefault="00EE41C9" w:rsidP="00EE41C9">
      <w:pPr>
        <w:jc w:val="both"/>
        <w:rPr>
          <w:i/>
          <w:iCs/>
        </w:rPr>
      </w:pPr>
      <w:r w:rsidRPr="00EE41C9">
        <w:rPr>
          <w:i/>
          <w:iCs/>
        </w:rPr>
        <w:t>“</w:t>
      </w:r>
      <w:r w:rsidRPr="00EE41C9">
        <w:rPr>
          <w:i/>
          <w:iCs/>
        </w:rPr>
        <w:t>“resta nondimeno preclaro che l’importo della tariffa standard pari ad euro 150/mq, oltre coefficienti moltiplicatori, indicata dal Comune di Lipari (cfr. allegato A alla</w:t>
      </w:r>
      <w:r w:rsidRPr="00EE41C9">
        <w:rPr>
          <w:i/>
          <w:iCs/>
        </w:rPr>
        <w:t xml:space="preserve"> </w:t>
      </w:r>
      <w:proofErr w:type="spellStart"/>
      <w:r w:rsidRPr="00EE41C9">
        <w:rPr>
          <w:i/>
          <w:iCs/>
        </w:rPr>
        <w:t>d.g.c</w:t>
      </w:r>
      <w:proofErr w:type="spellEnd"/>
      <w:r w:rsidRPr="00EE41C9">
        <w:rPr>
          <w:i/>
          <w:iCs/>
        </w:rPr>
        <w:t>. n. 20/2021), è manifestamente irragionevole, in relazione all’importo di euro</w:t>
      </w:r>
      <w:r w:rsidRPr="00EE41C9">
        <w:rPr>
          <w:i/>
          <w:iCs/>
        </w:rPr>
        <w:t xml:space="preserve"> </w:t>
      </w:r>
      <w:r w:rsidRPr="00EE41C9">
        <w:rPr>
          <w:i/>
          <w:iCs/>
        </w:rPr>
        <w:t>40,00/mq fissato, per i Comuni tra i 10.000 e i 30.000 abitanti, dall’art. 1, comma</w:t>
      </w:r>
      <w:r w:rsidRPr="00EE41C9">
        <w:rPr>
          <w:i/>
          <w:iCs/>
        </w:rPr>
        <w:t xml:space="preserve"> </w:t>
      </w:r>
      <w:r w:rsidRPr="00EE41C9">
        <w:rPr>
          <w:i/>
          <w:iCs/>
        </w:rPr>
        <w:t>826, della legge n. 160/2019; il quale – pur non avendo carattere imperativo e</w:t>
      </w:r>
      <w:r w:rsidRPr="00EE41C9">
        <w:rPr>
          <w:i/>
          <w:iCs/>
        </w:rPr>
        <w:t xml:space="preserve"> </w:t>
      </w:r>
      <w:r w:rsidRPr="00EE41C9">
        <w:rPr>
          <w:i/>
          <w:iCs/>
        </w:rPr>
        <w:t>inderogabile – fornisce all’interprete un parametro oggettivo di ragionevolezza per</w:t>
      </w:r>
      <w:r w:rsidRPr="00EE41C9">
        <w:rPr>
          <w:i/>
          <w:iCs/>
        </w:rPr>
        <w:t xml:space="preserve"> </w:t>
      </w:r>
      <w:r w:rsidRPr="00EE41C9">
        <w:rPr>
          <w:i/>
          <w:iCs/>
        </w:rPr>
        <w:t>verificare le scelte operate di volta in volta dai Comuni, anche tenuto conto che il principio</w:t>
      </w:r>
      <w:r w:rsidRPr="00EE41C9">
        <w:rPr>
          <w:i/>
          <w:iCs/>
        </w:rPr>
        <w:t xml:space="preserve"> </w:t>
      </w:r>
      <w:r w:rsidRPr="00EE41C9">
        <w:rPr>
          <w:i/>
          <w:iCs/>
        </w:rPr>
        <w:t xml:space="preserve">di invarianza di gettito, ai sensi dell’art. 1, comma 817, della </w:t>
      </w:r>
      <w:proofErr w:type="spellStart"/>
      <w:r w:rsidRPr="00EE41C9">
        <w:rPr>
          <w:i/>
          <w:iCs/>
        </w:rPr>
        <w:t>l.n</w:t>
      </w:r>
      <w:proofErr w:type="spellEnd"/>
      <w:r w:rsidRPr="00EE41C9">
        <w:rPr>
          <w:i/>
          <w:iCs/>
        </w:rPr>
        <w:t>. 160/2019, non può</w:t>
      </w:r>
      <w:r w:rsidRPr="00EE41C9">
        <w:rPr>
          <w:i/>
          <w:iCs/>
        </w:rPr>
        <w:t xml:space="preserve"> </w:t>
      </w:r>
      <w:r w:rsidRPr="00EE41C9">
        <w:rPr>
          <w:i/>
          <w:iCs/>
        </w:rPr>
        <w:t>comunque consentire all’amministrazione comunale di determinare l’importo della</w:t>
      </w:r>
      <w:r w:rsidRPr="00EE41C9">
        <w:rPr>
          <w:i/>
          <w:iCs/>
        </w:rPr>
        <w:t xml:space="preserve"> </w:t>
      </w:r>
      <w:r w:rsidRPr="00EE41C9">
        <w:rPr>
          <w:i/>
          <w:iCs/>
        </w:rPr>
        <w:t>tariffa standard (al quale poi devono essere aggiunte le maggiorazioni) in un valore (di</w:t>
      </w:r>
      <w:r w:rsidRPr="00EE41C9">
        <w:rPr>
          <w:i/>
          <w:iCs/>
        </w:rPr>
        <w:t xml:space="preserve"> </w:t>
      </w:r>
      <w:r w:rsidRPr="00EE41C9">
        <w:rPr>
          <w:i/>
          <w:iCs/>
        </w:rPr>
        <w:t>base) pari a oltre il triplo di quello previsto dalla legge, anche alla luce di quanto</w:t>
      </w:r>
      <w:r w:rsidRPr="00EE41C9">
        <w:rPr>
          <w:i/>
          <w:iCs/>
        </w:rPr>
        <w:t xml:space="preserve"> </w:t>
      </w:r>
      <w:r w:rsidRPr="00EE41C9">
        <w:rPr>
          <w:i/>
          <w:iCs/>
        </w:rPr>
        <w:t xml:space="preserve">affermato da questo </w:t>
      </w:r>
      <w:proofErr w:type="spellStart"/>
      <w:r w:rsidRPr="00EE41C9">
        <w:rPr>
          <w:i/>
          <w:iCs/>
        </w:rPr>
        <w:t>C.g.a.r.s</w:t>
      </w:r>
      <w:proofErr w:type="spellEnd"/>
      <w:r w:rsidRPr="00EE41C9">
        <w:rPr>
          <w:i/>
          <w:iCs/>
        </w:rPr>
        <w:t>,, in sede consultiva, con il parere n. 95 del 2024 in</w:t>
      </w:r>
      <w:r w:rsidRPr="00EE41C9">
        <w:rPr>
          <w:i/>
          <w:iCs/>
        </w:rPr>
        <w:t xml:space="preserve"> </w:t>
      </w:r>
      <w:r w:rsidRPr="00EE41C9">
        <w:rPr>
          <w:i/>
          <w:iCs/>
        </w:rPr>
        <w:t>relazione all’esatta interpretazione del suddetto principio di invarianza di gettito: «A</w:t>
      </w:r>
      <w:r w:rsidRPr="00EE41C9">
        <w:rPr>
          <w:i/>
          <w:iCs/>
        </w:rPr>
        <w:t xml:space="preserve"> </w:t>
      </w:r>
      <w:r w:rsidRPr="00EE41C9">
        <w:rPr>
          <w:i/>
          <w:iCs/>
        </w:rPr>
        <w:t>sua volta, il pure sopra citato parere n. 292/2023 di questo Consiglio, relativo allo</w:t>
      </w:r>
      <w:r w:rsidRPr="00EE41C9">
        <w:rPr>
          <w:i/>
          <w:iCs/>
        </w:rPr>
        <w:t xml:space="preserve"> </w:t>
      </w:r>
      <w:r w:rsidRPr="00EE41C9">
        <w:rPr>
          <w:i/>
          <w:iCs/>
        </w:rPr>
        <w:t>stesso regolamento comunale qui impugnato, osserva che l’invarianza garantita dalla</w:t>
      </w:r>
      <w:r w:rsidRPr="00EE41C9">
        <w:rPr>
          <w:i/>
          <w:iCs/>
        </w:rPr>
        <w:t xml:space="preserve"> </w:t>
      </w:r>
      <w:r w:rsidRPr="00EE41C9">
        <w:rPr>
          <w:i/>
          <w:iCs/>
        </w:rPr>
        <w:t>norma in commento riguarda non tanto il singolo rapporto concessorio o il singolo tributo</w:t>
      </w:r>
      <w:r w:rsidRPr="00EE41C9">
        <w:rPr>
          <w:i/>
          <w:iCs/>
        </w:rPr>
        <w:t xml:space="preserve"> </w:t>
      </w:r>
      <w:r w:rsidRPr="00EE41C9">
        <w:rPr>
          <w:i/>
          <w:iCs/>
        </w:rPr>
        <w:t>o entrata patrimoniale, bensì il complessivo gettito e, quindi, la complessiva entrata</w:t>
      </w:r>
      <w:r w:rsidRPr="00EE41C9">
        <w:rPr>
          <w:i/>
          <w:iCs/>
        </w:rPr>
        <w:t xml:space="preserve"> </w:t>
      </w:r>
      <w:r w:rsidRPr="00EE41C9">
        <w:rPr>
          <w:i/>
          <w:iCs/>
        </w:rPr>
        <w:t>finanziaria garantita ai comuni dall’applicazione delle pretese impositive previgenti al</w:t>
      </w:r>
      <w:r w:rsidRPr="00EE41C9">
        <w:rPr>
          <w:i/>
          <w:iCs/>
        </w:rPr>
        <w:t xml:space="preserve"> </w:t>
      </w:r>
      <w:r w:rsidRPr="00EE41C9">
        <w:rPr>
          <w:i/>
          <w:iCs/>
        </w:rPr>
        <w:t>CUP»” (</w:t>
      </w:r>
      <w:proofErr w:type="spellStart"/>
      <w:r w:rsidRPr="00EE41C9">
        <w:rPr>
          <w:i/>
          <w:iCs/>
        </w:rPr>
        <w:t>C.g.a</w:t>
      </w:r>
      <w:proofErr w:type="spellEnd"/>
      <w:r w:rsidRPr="00EE41C9">
        <w:rPr>
          <w:i/>
          <w:iCs/>
        </w:rPr>
        <w:t xml:space="preserve">., </w:t>
      </w:r>
      <w:proofErr w:type="spellStart"/>
      <w:r w:rsidRPr="00EE41C9">
        <w:rPr>
          <w:i/>
          <w:iCs/>
        </w:rPr>
        <w:t>sent</w:t>
      </w:r>
      <w:proofErr w:type="spellEnd"/>
      <w:r w:rsidRPr="00EE41C9">
        <w:rPr>
          <w:i/>
          <w:iCs/>
        </w:rPr>
        <w:t>. n. 655/2024).</w:t>
      </w:r>
      <w:r>
        <w:rPr>
          <w:i/>
          <w:iCs/>
        </w:rPr>
        <w:t>”</w:t>
      </w:r>
    </w:p>
    <w:p w14:paraId="23B65DCD" w14:textId="72022A31" w:rsidR="00EE41C9" w:rsidRPr="00EE41C9" w:rsidRDefault="00EE41C9" w:rsidP="00EE41C9">
      <w:pPr>
        <w:jc w:val="both"/>
      </w:pPr>
      <w:r>
        <w:lastRenderedPageBreak/>
        <w:t xml:space="preserve">Si chiarisce come la tariffa standard fissata dal legislatore, </w:t>
      </w:r>
      <w:r w:rsidRPr="00EE41C9">
        <w:t>pur non avendo carattere imperativo e inderogabile</w:t>
      </w:r>
      <w:r>
        <w:t>,</w:t>
      </w:r>
      <w:r w:rsidRPr="00EE41C9">
        <w:t xml:space="preserve"> fornisce all’interprete un parametro oggettivo di ragionevolezza per verificare le scelte operate di volta in volta dai Comuni</w:t>
      </w:r>
      <w:r>
        <w:t>.</w:t>
      </w:r>
    </w:p>
    <w:p w14:paraId="29C8BB3E" w14:textId="07C5517B" w:rsidR="00C93A46" w:rsidRDefault="00C93A46" w:rsidP="00B73296">
      <w:pPr>
        <w:jc w:val="both"/>
      </w:pPr>
      <w:r>
        <w:t xml:space="preserve">L’autonomia riconosciuta, in materia di proprie entrate, agli enti pubblici territoriali, dall’articolo 52 del </w:t>
      </w:r>
      <w:proofErr w:type="spellStart"/>
      <w:r>
        <w:t>D.Lgs</w:t>
      </w:r>
      <w:proofErr w:type="spellEnd"/>
      <w:r>
        <w:t xml:space="preserve"> 446/97 trova </w:t>
      </w:r>
      <w:r w:rsidR="00EE41C9">
        <w:t xml:space="preserve">pertanto </w:t>
      </w:r>
      <w:r>
        <w:t>dei limiti legati proprio alla cosiddetta discrezionalità tecnica. Concetto di limitazione della potestà regolamentare che abbiamo in passato già approfondito negli articoli “</w:t>
      </w:r>
      <w:r w:rsidRPr="00B73296">
        <w:rPr>
          <w:i/>
          <w:iCs/>
        </w:rPr>
        <w:t>Divieto di disporre esenzioni non definite nel Regolamento Comunale</w:t>
      </w:r>
      <w:r>
        <w:t>” pubblicato sulla piattaforma Smart24 il 27/06/</w:t>
      </w:r>
      <w:proofErr w:type="gramStart"/>
      <w:r>
        <w:t>2023</w:t>
      </w:r>
      <w:r w:rsidR="00B73296">
        <w:t xml:space="preserve">, </w:t>
      </w:r>
      <w:r>
        <w:t xml:space="preserve"> “</w:t>
      </w:r>
      <w:proofErr w:type="gramEnd"/>
      <w:r w:rsidRPr="00B73296">
        <w:rPr>
          <w:i/>
          <w:iCs/>
        </w:rPr>
        <w:t>Cosa resta del vincolo della parità di gettito nel Canone Unico Patrimoniale</w:t>
      </w:r>
      <w:r>
        <w:t xml:space="preserve">” pubblicato il </w:t>
      </w:r>
      <w:r w:rsidR="00B73296">
        <w:t>9</w:t>
      </w:r>
      <w:r>
        <w:t xml:space="preserve"> </w:t>
      </w:r>
      <w:r w:rsidR="00B73296">
        <w:t>agosto</w:t>
      </w:r>
      <w:r>
        <w:t xml:space="preserve"> 2023, e </w:t>
      </w:r>
      <w:r w:rsidR="00B73296">
        <w:t>nell’articolo “</w:t>
      </w:r>
      <w:r w:rsidR="00B73296" w:rsidRPr="00B73296">
        <w:rPr>
          <w:i/>
          <w:iCs/>
        </w:rPr>
        <w:t>Il TAR della Lombardia mette diversi punti fermi nella travagliata disciplina del CUP</w:t>
      </w:r>
      <w:r w:rsidR="00B73296">
        <w:t>” pubblicato il 7 marzo 2023</w:t>
      </w:r>
      <w:r w:rsidR="00EE41C9">
        <w:t>.</w:t>
      </w:r>
    </w:p>
    <w:p w14:paraId="5752090B" w14:textId="77777777" w:rsidR="00EE41C9" w:rsidRDefault="00C93A46" w:rsidP="00C93A46">
      <w:pPr>
        <w:jc w:val="both"/>
      </w:pPr>
      <w:r>
        <w:t xml:space="preserve">Avevamo </w:t>
      </w:r>
      <w:r w:rsidR="00EE41C9">
        <w:t xml:space="preserve">infatti </w:t>
      </w:r>
      <w:r>
        <w:t xml:space="preserve">già evidenziato le problematiche legate proprio all’autonomia degli enti locali che non deve sconfinare nell’arbitrio. </w:t>
      </w:r>
    </w:p>
    <w:p w14:paraId="74A89602" w14:textId="684064D0" w:rsidR="00C93A46" w:rsidRDefault="00EE41C9" w:rsidP="00C93A46">
      <w:pPr>
        <w:jc w:val="both"/>
      </w:pPr>
      <w:r>
        <w:t xml:space="preserve">In questo senso è davvero </w:t>
      </w:r>
      <w:r w:rsidR="00C93A46">
        <w:t>diffic</w:t>
      </w:r>
      <w:r>
        <w:t>ile</w:t>
      </w:r>
      <w:r w:rsidR="00C93A46">
        <w:t xml:space="preserve"> capire fin dove potersi spingere senza oltrepassare quel limite invisibile ma reale che delimita la potestà degli enti territoriali.</w:t>
      </w:r>
      <w:r>
        <w:t xml:space="preserve"> Certo nel caso specifico, sembra che il Comune sia andato decisamente oltre i principi generali che devono sempre ispirare la formazione di un impianto tariffario di una entrata imposta.</w:t>
      </w:r>
    </w:p>
    <w:p w14:paraId="0C66F1CC" w14:textId="0DDBDDDB" w:rsidR="00C93A46" w:rsidRDefault="00EE41C9" w:rsidP="00C93A46">
      <w:pPr>
        <w:jc w:val="both"/>
      </w:pPr>
      <w:r>
        <w:t>Sull’argomento, p</w:t>
      </w:r>
      <w:r w:rsidR="00C93A46">
        <w:t xml:space="preserve">articolarmente significativa l’affermazione della Corte </w:t>
      </w:r>
      <w:r w:rsidR="00C93A46" w:rsidRPr="00C93A46">
        <w:t>Costituzionale, con la sentenza 28 dicembre 2001, n. 435</w:t>
      </w:r>
      <w:r w:rsidR="00C93A46">
        <w:t xml:space="preserve"> “</w:t>
      </w:r>
      <w:r w:rsidR="00C93A46" w:rsidRPr="00C93A46">
        <w:rPr>
          <w:i/>
          <w:iCs/>
        </w:rPr>
        <w:t>la delimitazione della potestà amministrativa non deve necessariamente risultare dalla formula della norma stessa, ma ben si può ricavare da tutto il contesto della disciplina relativa alla materia di cui essa fa parte. Ne discende che la natura tecnica dei suddetti criteri, come questa Corte ha ripetutamente affermato esclude la sussistenza di un potere della pubblica amministrazione così ampio, da potere sconfinare nell'arbitrario; esso, per contro, risulta circoscritto nell'ambito della cosiddetta discrezionalità tecnica, che impone all'Amministrazione di adottare, previ i necessari accertamenti di fatto, soluzioni imposte dagli anzidetti criteri”</w:t>
      </w:r>
      <w:r>
        <w:rPr>
          <w:i/>
          <w:iCs/>
        </w:rPr>
        <w:t>.</w:t>
      </w:r>
    </w:p>
    <w:p w14:paraId="4BFA2F51" w14:textId="5D0B1A85" w:rsidR="00C93A46" w:rsidRDefault="00B73296" w:rsidP="00B73296">
      <w:pPr>
        <w:jc w:val="both"/>
      </w:pPr>
      <w:r>
        <w:t xml:space="preserve">Oggi </w:t>
      </w:r>
      <w:r w:rsidR="00C93A46">
        <w:t>si continua a ritenere come legittima la possibilità di incrementare l’entrata da parte degli Enti locali, purché non venga mai superato quel limite invisibile definito, utilizzando le parole del Legislatore, secondo criteri di ragionevolezza e di gradualità in ragione dell'impatto ambientale e urbanistico delle occupazioni e delle esposizioni pubblicitarie oggetto del canone.</w:t>
      </w:r>
    </w:p>
    <w:p w14:paraId="0FAE673E" w14:textId="46C2D36B" w:rsidR="00C93A46" w:rsidRDefault="00B73296" w:rsidP="00B73296">
      <w:pPr>
        <w:jc w:val="both"/>
      </w:pPr>
      <w:r>
        <w:t xml:space="preserve">È quindi </w:t>
      </w:r>
      <w:r w:rsidR="00C93A46" w:rsidRPr="00C93A46">
        <w:t>compito delle singole amministrazioni locali garantire il</w:t>
      </w:r>
      <w:r w:rsidR="00C93A46">
        <w:t xml:space="preserve"> rispetto dei principi generali che devono caratterizzare la gestione della nuova entrata e, conseguentemente, ipotizzare anche degli eventuali aumenti tariffari</w:t>
      </w:r>
      <w:r>
        <w:t xml:space="preserve"> </w:t>
      </w:r>
      <w:r w:rsidR="00C93A46">
        <w:t xml:space="preserve">purché motivati. Del resto, quando il legislatore prevedeva </w:t>
      </w:r>
      <w:r w:rsidR="00C93A46" w:rsidRPr="00B73296">
        <w:rPr>
          <w:i/>
          <w:iCs/>
        </w:rPr>
        <w:t>«…in ogni caso, la possibilità di variare il gettito attraverso la modifica delle tariffe…»</w:t>
      </w:r>
      <w:r w:rsidR="00C93A46">
        <w:t xml:space="preserve"> voleva innanzi tutto salvaguardare quell’autonomia in materia di proprie entrate, riconosciuta dall’articolo 52 del Dlgs 446/97 a garanzia dei Comuni, Province e Città Metropolitane che legittimamente dovevano perseguire i propri obiettivi di autonomia finanziaria di entrata riconosciuti all’articolo 119 della Costituzione.</w:t>
      </w:r>
      <w:r w:rsidR="00EE41C9">
        <w:t xml:space="preserve"> Tuttavia condizionato dal rispetto dei principi di gradualità e ragionevolezza, oltre che motivato dai principi del beneficio economico (che ritrae il beneficiario della concessione nell’esercizio della sua attività) e del sacrificio imposto alla collettività per la presenza su suolo pubblico dell’occupazione.</w:t>
      </w:r>
    </w:p>
    <w:p w14:paraId="0F9D808B" w14:textId="77777777" w:rsidR="00EE41C9" w:rsidRDefault="00EE41C9" w:rsidP="00B73296">
      <w:pPr>
        <w:jc w:val="both"/>
      </w:pPr>
    </w:p>
    <w:sectPr w:rsidR="00EE41C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55"/>
    <w:rsid w:val="00060149"/>
    <w:rsid w:val="00240F65"/>
    <w:rsid w:val="004017B3"/>
    <w:rsid w:val="005913C6"/>
    <w:rsid w:val="007B1496"/>
    <w:rsid w:val="00963355"/>
    <w:rsid w:val="00AF04DF"/>
    <w:rsid w:val="00B73296"/>
    <w:rsid w:val="00C93A46"/>
    <w:rsid w:val="00CA02EC"/>
    <w:rsid w:val="00EE41C9"/>
    <w:rsid w:val="00F80E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406A"/>
  <w15:chartTrackingRefBased/>
  <w15:docId w15:val="{B2D4F536-B791-475A-BC49-D7D9C2DA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63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63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6335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6335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6335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6335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6335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6335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6335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6335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6335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6335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6335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6335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633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633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633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633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63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633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633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633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633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63355"/>
    <w:rPr>
      <w:i/>
      <w:iCs/>
      <w:color w:val="404040" w:themeColor="text1" w:themeTint="BF"/>
    </w:rPr>
  </w:style>
  <w:style w:type="paragraph" w:styleId="Paragrafoelenco">
    <w:name w:val="List Paragraph"/>
    <w:basedOn w:val="Normale"/>
    <w:uiPriority w:val="34"/>
    <w:qFormat/>
    <w:rsid w:val="00963355"/>
    <w:pPr>
      <w:ind w:left="720"/>
      <w:contextualSpacing/>
    </w:pPr>
  </w:style>
  <w:style w:type="character" w:styleId="Enfasiintensa">
    <w:name w:val="Intense Emphasis"/>
    <w:basedOn w:val="Carpredefinitoparagrafo"/>
    <w:uiPriority w:val="21"/>
    <w:qFormat/>
    <w:rsid w:val="00963355"/>
    <w:rPr>
      <w:i/>
      <w:iCs/>
      <w:color w:val="2F5496" w:themeColor="accent1" w:themeShade="BF"/>
    </w:rPr>
  </w:style>
  <w:style w:type="paragraph" w:styleId="Citazioneintensa">
    <w:name w:val="Intense Quote"/>
    <w:basedOn w:val="Normale"/>
    <w:next w:val="Normale"/>
    <w:link w:val="CitazioneintensaCarattere"/>
    <w:uiPriority w:val="30"/>
    <w:qFormat/>
    <w:rsid w:val="00963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63355"/>
    <w:rPr>
      <w:i/>
      <w:iCs/>
      <w:color w:val="2F5496" w:themeColor="accent1" w:themeShade="BF"/>
    </w:rPr>
  </w:style>
  <w:style w:type="character" w:styleId="Riferimentointenso">
    <w:name w:val="Intense Reference"/>
    <w:basedOn w:val="Carpredefinitoparagrafo"/>
    <w:uiPriority w:val="32"/>
    <w:qFormat/>
    <w:rsid w:val="00963355"/>
    <w:rPr>
      <w:b/>
      <w:bCs/>
      <w:smallCaps/>
      <w:color w:val="2F5496" w:themeColor="accent1" w:themeShade="BF"/>
      <w:spacing w:val="5"/>
    </w:rPr>
  </w:style>
  <w:style w:type="character" w:styleId="Collegamentoipertestuale">
    <w:name w:val="Hyperlink"/>
    <w:basedOn w:val="Carpredefinitoparagrafo"/>
    <w:uiPriority w:val="99"/>
    <w:unhideWhenUsed/>
    <w:rsid w:val="00CA02EC"/>
    <w:rPr>
      <w:color w:val="0563C1" w:themeColor="hyperlink"/>
      <w:u w:val="single"/>
    </w:rPr>
  </w:style>
  <w:style w:type="character" w:styleId="Menzionenonrisolta">
    <w:name w:val="Unresolved Mention"/>
    <w:basedOn w:val="Carpredefinitoparagrafo"/>
    <w:uiPriority w:val="99"/>
    <w:semiHidden/>
    <w:unhideWhenUsed/>
    <w:rsid w:val="00CA0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search?sca_esv=3cba3ff7c6207a53&amp;cs=0&amp;sxsrf=AE3TifOgTU6CUq86a1JPdRIwxsyqvzCR2g%3A1758546857730&amp;q=TAR+per+la+Sicilia&amp;sa=X&amp;ved=2ahUKEwj524fGueyPAxXm9bsIHWrYAV8QxccNegQIAhAB&amp;mstk=AUtExfAAvoMomBLamkSYR8Wgnon91FjNsyFrgxUfIG6pUFQDWMNvQclfnpNj7GzbTGM7m3E44e1HLZ9PJdMucxZkimoaQ1FU_-OfkaYceg16GrpKBHhCWImCUcIvdoQz-6FBB2nEvrDCJvJ4Ru_9NoSabxI3vwveE4xlqBjE7hVVuAtXB0fhrb4zyGN1XWE_NWQ-guFPi_DH-ymV8w1yR-7IpxygF_QNTdJlNkSjWIwm5H6baQQIN-xwhp9MfWFn0Jm79oStasNkwSZqg-rBU84tfKFl&amp;csui=3"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1196</Words>
  <Characters>6819</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2025-09-22T10:35:00Z</dcterms:created>
  <dcterms:modified xsi:type="dcterms:W3CDTF">2025-09-22T13:27:00Z</dcterms:modified>
</cp:coreProperties>
</file>