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455DD" w14:textId="63512D46" w:rsidR="00060149" w:rsidRDefault="00572D8B">
      <w:r>
        <w:t xml:space="preserve">Titolo: </w:t>
      </w:r>
      <w:r w:rsidRPr="00572D8B">
        <w:t>l'occupazione di suolo pubblico per conto dell'università è soggetta al pagamento CUP</w:t>
      </w:r>
    </w:p>
    <w:p w14:paraId="6617D13C" w14:textId="2A72C8E5" w:rsidR="00572D8B" w:rsidRDefault="00572D8B">
      <w:r>
        <w:t>Di Alessandro Merciari</w:t>
      </w:r>
    </w:p>
    <w:p w14:paraId="423D6F67" w14:textId="77777777" w:rsidR="00572D8B" w:rsidRDefault="00572D8B"/>
    <w:p w14:paraId="53E9D297" w14:textId="2ED7E92C" w:rsidR="00572D8B" w:rsidRDefault="00572D8B">
      <w:r>
        <w:t>Il tema dell’esenzione prevista in materia di CUP alla lettera A del comma 833, articolo 1 Legge 160/2019, si arricchisce di una nuova sentenza a favore della lettura restrittiva della norma.</w:t>
      </w:r>
    </w:p>
    <w:p w14:paraId="58C7173F" w14:textId="510B2B9F" w:rsidR="00572D8B" w:rsidRDefault="00572D8B" w:rsidP="00272755">
      <w:pPr>
        <w:jc w:val="both"/>
      </w:pPr>
      <w:r>
        <w:t>Questa volta a pronunciarsi è il Tribunale di Bari nella sentenza n. 832/2025 del 6 Marzo 2025</w:t>
      </w:r>
      <w:r w:rsidR="00272755">
        <w:t xml:space="preserve"> con la quale i</w:t>
      </w:r>
      <w:r>
        <w:t xml:space="preserve"> giudici hanno deciso una controversia legata all’occupazione di suolo pubblico realizzata da una azienda del settore edile per l’esecuzione di lavori di restauro di uno stabile </w:t>
      </w:r>
      <w:r w:rsidR="00272755">
        <w:t>presso l</w:t>
      </w:r>
      <w:r w:rsidR="00053F5F">
        <w:t xml:space="preserve">a locale </w:t>
      </w:r>
      <w:r w:rsidR="00272755">
        <w:t>Università.</w:t>
      </w:r>
    </w:p>
    <w:p w14:paraId="7339AE4C" w14:textId="59A6A805" w:rsidR="00272755" w:rsidRDefault="00272755" w:rsidP="00272755">
      <w:pPr>
        <w:jc w:val="both"/>
      </w:pPr>
      <w:r>
        <w:t>Si legge in sentenza:</w:t>
      </w:r>
    </w:p>
    <w:p w14:paraId="1D9FE952" w14:textId="45BD8536" w:rsidR="00272755" w:rsidRDefault="00272755" w:rsidP="00272755">
      <w:pPr>
        <w:jc w:val="both"/>
        <w:rPr>
          <w:i/>
          <w:iCs/>
          <w:sz w:val="23"/>
          <w:szCs w:val="23"/>
        </w:rPr>
      </w:pPr>
      <w:r>
        <w:rPr>
          <w:i/>
          <w:iCs/>
          <w:sz w:val="23"/>
          <w:szCs w:val="23"/>
        </w:rPr>
        <w:t>“</w:t>
      </w:r>
      <w:r w:rsidRPr="00272755">
        <w:rPr>
          <w:i/>
          <w:iCs/>
          <w:sz w:val="23"/>
          <w:szCs w:val="23"/>
        </w:rPr>
        <w:t>Ora, se è vero che il a differenza della TOSAP, non ha natura tributaria costituendo il corrispettivo di una concessione, reale o presunta, per l’occupazione di suolo pubblico (cfr., ex plurims, Cass. n. 24541 del 2/10/2019), cionondimeno le esenzioni dal suo pagamento sono sempre state ritenute dalla giurisprudenza, al pari di quelle già previste per la TOSAP, oggetto di norme di stretta interpretazione, rappresentando eccezioni alla regola generale dell’onerosità dell’occupazione (cfr. tra le molte, Cass. civ., Sez. I, 05/11/2024, n. 28378; Cass. civ., Sez. I, 25/09/2024, n. 25614).</w:t>
      </w:r>
      <w:r>
        <w:rPr>
          <w:i/>
          <w:iCs/>
          <w:sz w:val="23"/>
          <w:szCs w:val="23"/>
        </w:rPr>
        <w:t>”</w:t>
      </w:r>
    </w:p>
    <w:p w14:paraId="2766B4A7" w14:textId="45120B8E" w:rsidR="008C26B2" w:rsidRDefault="008C26B2" w:rsidP="00272755">
      <w:pPr>
        <w:jc w:val="both"/>
        <w:rPr>
          <w:sz w:val="23"/>
          <w:szCs w:val="23"/>
        </w:rPr>
      </w:pPr>
      <w:r w:rsidRPr="008C26B2">
        <w:rPr>
          <w:sz w:val="23"/>
          <w:szCs w:val="23"/>
        </w:rPr>
        <w:t>Prosegue</w:t>
      </w:r>
      <w:r>
        <w:rPr>
          <w:sz w:val="23"/>
          <w:szCs w:val="23"/>
        </w:rPr>
        <w:t>:</w:t>
      </w:r>
    </w:p>
    <w:p w14:paraId="07EB7D63" w14:textId="77777777" w:rsidR="008C26B2" w:rsidRPr="008C26B2" w:rsidRDefault="008C26B2" w:rsidP="008C26B2">
      <w:pPr>
        <w:jc w:val="both"/>
        <w:rPr>
          <w:i/>
          <w:iCs/>
          <w:sz w:val="23"/>
          <w:szCs w:val="23"/>
        </w:rPr>
      </w:pPr>
      <w:r w:rsidRPr="008C26B2">
        <w:rPr>
          <w:i/>
          <w:iCs/>
          <w:sz w:val="23"/>
          <w:szCs w:val="23"/>
        </w:rPr>
        <w:t xml:space="preserve">“Anche con specifico riferimento al canone unico di cui all’art. 1, commi 816 e ss., della L. 160/2019 (che, al pari del COSAP, non ha natura tributaria) è stato sottolineato come le norme di agevolazione o esenzione costituiscano una deroga sostanziale al principio generale posto dalla legge ordinaria, cosicché non trovano applicazione al di fuori delle ipotesi specificamente e tassativamente indicate, atteso il divieto di interpretazione analogica ed estensiva (cfr., proprio relativamente all’esenzione di cui all’art. 1, comma 833, lett. a, della L. 160/2019, Cons. Stato, Sez. VII, 27/11/2024, n. 9553). </w:t>
      </w:r>
    </w:p>
    <w:p w14:paraId="7035EAB8" w14:textId="77777777" w:rsidR="008C26B2" w:rsidRPr="008C26B2" w:rsidRDefault="008C26B2" w:rsidP="008C26B2">
      <w:pPr>
        <w:jc w:val="both"/>
        <w:rPr>
          <w:i/>
          <w:iCs/>
          <w:sz w:val="23"/>
          <w:szCs w:val="23"/>
        </w:rPr>
      </w:pPr>
      <w:r w:rsidRPr="008C26B2">
        <w:rPr>
          <w:i/>
          <w:iCs/>
          <w:sz w:val="23"/>
          <w:szCs w:val="23"/>
        </w:rPr>
        <w:t xml:space="preserve">Ebbene, l’esenzione di cui si discute è circoscritta dalla relativa norma di legge alle occupazioni effettuate da alcuni enti pubblici specificatamente individuati. </w:t>
      </w:r>
    </w:p>
    <w:p w14:paraId="5F7A980B" w14:textId="77777777" w:rsidR="008C26B2" w:rsidRPr="008C26B2" w:rsidRDefault="008C26B2" w:rsidP="008C26B2">
      <w:pPr>
        <w:jc w:val="both"/>
        <w:rPr>
          <w:i/>
          <w:iCs/>
          <w:sz w:val="23"/>
          <w:szCs w:val="23"/>
        </w:rPr>
      </w:pPr>
      <w:r w:rsidRPr="008C26B2">
        <w:rPr>
          <w:i/>
          <w:iCs/>
          <w:sz w:val="23"/>
          <w:szCs w:val="23"/>
        </w:rPr>
        <w:t xml:space="preserve">La stretta interpretazione del riferimento allo Stato e ad altri enti pubblici non può, pertanto, che condurre a limitare l’operatività dell’esenzione alle occupazioni dagli stessi direttamente effettuate, in linea con la consolidata giurisprudenza già pronunciatasi su altre ipotesi di esenzioni fiscali riconosciute ad enti pubblici che, come detto, condividono la medesima natura eccezionale dell’esenzione qui in esame (cfr. Cass. civ., Sez. V, 13/08/2020, n. 17034; Cass. civ., Sez. V, 17/11/2017, n. 27289; Cass. civ., Sez. V, 17/11/2021, n. 34854). </w:t>
      </w:r>
    </w:p>
    <w:p w14:paraId="487C553D" w14:textId="1E9268AF" w:rsidR="008C26B2" w:rsidRDefault="008C26B2" w:rsidP="008C26B2">
      <w:pPr>
        <w:jc w:val="both"/>
        <w:rPr>
          <w:sz w:val="23"/>
          <w:szCs w:val="23"/>
        </w:rPr>
      </w:pPr>
      <w:r w:rsidRPr="008C26B2">
        <w:rPr>
          <w:i/>
          <w:iCs/>
          <w:sz w:val="23"/>
          <w:szCs w:val="23"/>
        </w:rPr>
        <w:t>Il riconoscimento dell’esenzione a soggetti diversi attraverso una loro pretesa assimilazione allo Stato e agli altri enti pubblici finirebbe inevitabilmente per portare ad una interpretazione analogica ed estensiva di una norma eccezionale, in contrasto con il disposto di cui all’art. 14 delle preleggi del codice civile</w:t>
      </w:r>
      <w:r w:rsidRPr="008C26B2">
        <w:rPr>
          <w:sz w:val="23"/>
          <w:szCs w:val="23"/>
        </w:rPr>
        <w:t>.</w:t>
      </w:r>
      <w:r>
        <w:rPr>
          <w:sz w:val="23"/>
          <w:szCs w:val="23"/>
        </w:rPr>
        <w:t>”</w:t>
      </w:r>
    </w:p>
    <w:p w14:paraId="70E2B0F5" w14:textId="2B9673E1" w:rsidR="008C26B2" w:rsidRDefault="00053F5F" w:rsidP="008C26B2">
      <w:pPr>
        <w:jc w:val="both"/>
        <w:rPr>
          <w:sz w:val="23"/>
          <w:szCs w:val="23"/>
        </w:rPr>
      </w:pPr>
      <w:r>
        <w:rPr>
          <w:sz w:val="23"/>
          <w:szCs w:val="23"/>
        </w:rPr>
        <w:t xml:space="preserve">Fatte queste premesse e inquadrata la tipologia di occupazione, i giudici arrivano alla conclusione che non può essere accordata l’esenzione invocata </w:t>
      </w:r>
      <w:r w:rsidRPr="00053F5F">
        <w:rPr>
          <w:sz w:val="23"/>
          <w:szCs w:val="23"/>
        </w:rPr>
        <w:t>a nulla rilevando che l’esecuzione dell’appalto si realizz</w:t>
      </w:r>
      <w:r>
        <w:rPr>
          <w:sz w:val="23"/>
          <w:szCs w:val="23"/>
        </w:rPr>
        <w:t>a</w:t>
      </w:r>
      <w:r w:rsidRPr="00053F5F">
        <w:rPr>
          <w:sz w:val="23"/>
          <w:szCs w:val="23"/>
        </w:rPr>
        <w:t xml:space="preserve"> per conto di un soggett</w:t>
      </w:r>
      <w:r>
        <w:rPr>
          <w:sz w:val="23"/>
          <w:szCs w:val="23"/>
        </w:rPr>
        <w:t>o</w:t>
      </w:r>
      <w:r w:rsidRPr="00053F5F">
        <w:rPr>
          <w:sz w:val="23"/>
          <w:szCs w:val="23"/>
        </w:rPr>
        <w:t xml:space="preserve"> beneficiari ex lege</w:t>
      </w:r>
      <w:r>
        <w:rPr>
          <w:sz w:val="23"/>
          <w:szCs w:val="23"/>
        </w:rPr>
        <w:t>:</w:t>
      </w:r>
    </w:p>
    <w:p w14:paraId="28D4894E" w14:textId="77C0E60B" w:rsidR="008C26B2" w:rsidRDefault="008C26B2" w:rsidP="008C26B2">
      <w:pPr>
        <w:jc w:val="both"/>
        <w:rPr>
          <w:i/>
          <w:iCs/>
          <w:sz w:val="23"/>
          <w:szCs w:val="23"/>
        </w:rPr>
      </w:pPr>
      <w:r w:rsidRPr="008C26B2">
        <w:rPr>
          <w:i/>
          <w:iCs/>
          <w:sz w:val="23"/>
          <w:szCs w:val="23"/>
        </w:rPr>
        <w:t xml:space="preserve">“Ebbene, la rigorosa esegesi letterale e funzionale della norma limita le occupazioni oggetto di esenzione esclusivamente a quelle poste in essere dai soggetti indicati dalla legge. Difatti, rilevando quale presupposto impositivo del canone il fatto in sé delle “occupazioni “effettuate” su “aree appartenenti al demanio o al patrimonio indisponibile degli enti” o su “spazi soprastanti o sottostanti il suolo pubblico”, </w:t>
      </w:r>
      <w:r w:rsidRPr="008C26B2">
        <w:rPr>
          <w:i/>
          <w:iCs/>
          <w:sz w:val="23"/>
          <w:szCs w:val="23"/>
        </w:rPr>
        <w:lastRenderedPageBreak/>
        <w:t xml:space="preserve">qualsiasi intervento dell’impresa appaltatrice su tali aree o spazi ne presuppone una previa occupazione che non la sottrae al pagamento del canone, </w:t>
      </w:r>
      <w:bookmarkStart w:id="0" w:name="_Hlk211419891"/>
      <w:r w:rsidRPr="008C26B2">
        <w:rPr>
          <w:i/>
          <w:iCs/>
          <w:sz w:val="23"/>
          <w:szCs w:val="23"/>
        </w:rPr>
        <w:t>a nulla rilevando che l’esecuzione dell’appalto si realizzi per conto di uno qualsiasi dei soggetti beneficiari ex lege</w:t>
      </w:r>
      <w:bookmarkEnd w:id="0"/>
      <w:r w:rsidRPr="008C26B2">
        <w:rPr>
          <w:i/>
          <w:iCs/>
          <w:sz w:val="23"/>
          <w:szCs w:val="23"/>
        </w:rPr>
        <w:t>.”</w:t>
      </w:r>
    </w:p>
    <w:p w14:paraId="25E8BEBA" w14:textId="6CF77316" w:rsidR="008C26B2" w:rsidRDefault="00F3547C" w:rsidP="008C26B2">
      <w:pPr>
        <w:jc w:val="both"/>
        <w:rPr>
          <w:sz w:val="23"/>
          <w:szCs w:val="23"/>
        </w:rPr>
      </w:pPr>
      <w:r>
        <w:rPr>
          <w:sz w:val="23"/>
          <w:szCs w:val="23"/>
        </w:rPr>
        <w:t xml:space="preserve">I giudici nella sentenza prendono in considerazione il principio secondo il quale il pagamento del canone </w:t>
      </w:r>
      <w:r w:rsidR="003C3006">
        <w:rPr>
          <w:sz w:val="23"/>
          <w:szCs w:val="23"/>
        </w:rPr>
        <w:t>non può essere oggetto di rinuncia da parte del Comune</w:t>
      </w:r>
      <w:r w:rsidR="00EC53DB">
        <w:rPr>
          <w:sz w:val="23"/>
          <w:szCs w:val="23"/>
        </w:rPr>
        <w:t xml:space="preserve"> e una eventuale inerzia degli uffici non può rappresentare una forma di rinuncia tacita al pagamento:</w:t>
      </w:r>
    </w:p>
    <w:p w14:paraId="543DB41B" w14:textId="6C070D1F" w:rsidR="008C26B2" w:rsidRDefault="008C26B2" w:rsidP="008C26B2">
      <w:pPr>
        <w:jc w:val="both"/>
        <w:rPr>
          <w:i/>
          <w:iCs/>
          <w:sz w:val="23"/>
          <w:szCs w:val="23"/>
        </w:rPr>
      </w:pPr>
      <w:r w:rsidRPr="008C26B2">
        <w:rPr>
          <w:i/>
          <w:iCs/>
          <w:sz w:val="23"/>
          <w:szCs w:val="23"/>
        </w:rPr>
        <w:t>“A ciò si aggiunga l’ulteriore rilievo per cui, come chiarito dalla Corte di legittimità con riferimento al previgente canone OSAP, il canone trova la sua fonte nel provvedimento concessorio e non può essere considerato oggetto di trattativa privata, essendo il pagamento del canone previsto dal Regolamento, cosicché il canone in questione non può essere oggetto di rinuncia da parte del anche l’obbligo di pagamento del prezzo del canone OSAP da parte del privato trova la sua fonte nel provvedimento autorizzativo e lo stesso disposto normativo prevede che il canone deve essere pagato dal titolare del provvedimento di</w:t>
      </w:r>
      <w:r>
        <w:rPr>
          <w:i/>
          <w:iCs/>
          <w:sz w:val="23"/>
          <w:szCs w:val="23"/>
        </w:rPr>
        <w:t xml:space="preserve"> </w:t>
      </w:r>
      <w:r w:rsidRPr="008C26B2">
        <w:rPr>
          <w:i/>
          <w:iCs/>
          <w:sz w:val="23"/>
          <w:szCs w:val="23"/>
        </w:rPr>
        <w:t>concessione. Con l’avvertenza che la determinazione del canone deve avvenire nell'atto di concessione, tuttavia “l’eventuale esatta determinazione del canone in un momento successivo non comporta la non esigibilità del credito da parte del sia perché il diritto al canone OSAP trova la sua fonte nell'atto concessorio e non è un diritto disponibile, sia perché il canone è previsto come dovuto dal regolamento ed è soggetto alle tariffe approvate con le delibere del consiglio comunale, sia perché si è ritenuto che il silenzio sul canone non costituisce rinuncia espressa e neppure rinuncia tacita, in assenza di una condotta incompatibile con la volontà di avvalersi del diritto di credito stesso (cfr. sul punto Cass. 12482/2022; Cass. 13169/2000; Cass. 9240/2020; Cass. 3710/2019; Cass. 29455/2018; Cass. 18607/2020)” (Cass., n. 5177/2023), nella specie non ravvisabile, avendo il espressamente subordinato la concessione al pagamento della relativa “tassa”, demandando la verifica in ordine alla corretta quantificazione e corresponsione del tributo “in capo alla Ripartizione Tributi ovvero al soggetto concessionario della riscossione</w:t>
      </w:r>
      <w:r>
        <w:rPr>
          <w:i/>
          <w:iCs/>
          <w:sz w:val="23"/>
          <w:szCs w:val="23"/>
        </w:rPr>
        <w:t>”</w:t>
      </w:r>
      <w:r w:rsidR="00EC53DB">
        <w:rPr>
          <w:i/>
          <w:iCs/>
          <w:sz w:val="23"/>
          <w:szCs w:val="23"/>
        </w:rPr>
        <w:t>.</w:t>
      </w:r>
    </w:p>
    <w:p w14:paraId="4FF54F24" w14:textId="77777777" w:rsidR="001933C4" w:rsidRDefault="00EC53DB" w:rsidP="001933C4">
      <w:pPr>
        <w:jc w:val="both"/>
        <w:rPr>
          <w:sz w:val="23"/>
          <w:szCs w:val="23"/>
        </w:rPr>
      </w:pPr>
      <w:r>
        <w:rPr>
          <w:sz w:val="23"/>
          <w:szCs w:val="23"/>
        </w:rPr>
        <w:t>In conclusione questa sentenza si pone in linea con molte altre che valutano, come detto, la norma di esenzione di stretta interpretazione</w:t>
      </w:r>
      <w:r w:rsidR="00CA7B84">
        <w:rPr>
          <w:sz w:val="23"/>
          <w:szCs w:val="23"/>
        </w:rPr>
        <w:t>, escludendo la possibilità di riconoscerla a quelle ditte che eseguono lavori per conto di soggetti esenti</w:t>
      </w:r>
      <w:r>
        <w:rPr>
          <w:sz w:val="23"/>
          <w:szCs w:val="23"/>
        </w:rPr>
        <w:t xml:space="preserve">. </w:t>
      </w:r>
    </w:p>
    <w:p w14:paraId="5396F93D" w14:textId="4A51A97C" w:rsidR="001933C4" w:rsidRDefault="00EC53DB" w:rsidP="001933C4">
      <w:pPr>
        <w:jc w:val="both"/>
        <w:rPr>
          <w:sz w:val="23"/>
          <w:szCs w:val="23"/>
        </w:rPr>
      </w:pPr>
      <w:r>
        <w:rPr>
          <w:sz w:val="23"/>
          <w:szCs w:val="23"/>
        </w:rPr>
        <w:t xml:space="preserve">Orientamento </w:t>
      </w:r>
      <w:r w:rsidR="00CA7B84">
        <w:rPr>
          <w:sz w:val="23"/>
          <w:szCs w:val="23"/>
        </w:rPr>
        <w:t xml:space="preserve">che </w:t>
      </w:r>
      <w:r>
        <w:rPr>
          <w:sz w:val="23"/>
          <w:szCs w:val="23"/>
        </w:rPr>
        <w:t xml:space="preserve">recentemente </w:t>
      </w:r>
      <w:r w:rsidR="00CA7B84">
        <w:rPr>
          <w:sz w:val="23"/>
          <w:szCs w:val="23"/>
        </w:rPr>
        <w:t xml:space="preserve">fu </w:t>
      </w:r>
      <w:r>
        <w:rPr>
          <w:sz w:val="23"/>
          <w:szCs w:val="23"/>
        </w:rPr>
        <w:t xml:space="preserve">messo in discussione da un parere della Corte dei Conti Calabria </w:t>
      </w:r>
      <w:r w:rsidR="00CA7B84">
        <w:rPr>
          <w:sz w:val="23"/>
          <w:szCs w:val="23"/>
        </w:rPr>
        <w:t>che</w:t>
      </w:r>
      <w:r w:rsidR="001933C4">
        <w:rPr>
          <w:sz w:val="23"/>
          <w:szCs w:val="23"/>
        </w:rPr>
        <w:t>, in contro</w:t>
      </w:r>
      <w:r w:rsidR="000B39B4">
        <w:rPr>
          <w:sz w:val="23"/>
          <w:szCs w:val="23"/>
        </w:rPr>
        <w:t xml:space="preserve"> </w:t>
      </w:r>
      <w:r w:rsidR="001933C4">
        <w:rPr>
          <w:sz w:val="23"/>
          <w:szCs w:val="23"/>
        </w:rPr>
        <w:t xml:space="preserve">tendenza con le ultime pronunce tra le quali quella della stessa Corte dei Conti sezione </w:t>
      </w:r>
      <w:r w:rsidR="00F43608">
        <w:rPr>
          <w:sz w:val="23"/>
          <w:szCs w:val="23"/>
        </w:rPr>
        <w:t>Piemonte, aveva</w:t>
      </w:r>
      <w:r w:rsidR="001933C4">
        <w:rPr>
          <w:sz w:val="23"/>
          <w:szCs w:val="23"/>
        </w:rPr>
        <w:t xml:space="preserve"> ritenuto come rilevante l</w:t>
      </w:r>
      <w:r w:rsidR="001933C4" w:rsidRPr="001933C4">
        <w:rPr>
          <w:sz w:val="23"/>
          <w:szCs w:val="23"/>
        </w:rPr>
        <w:t xml:space="preserve">’assunzione da parte dell’ente pubblico committente dei lavori della disponibilità dell’area necessaria per l’occupazione. Area che </w:t>
      </w:r>
      <w:r w:rsidR="001933C4">
        <w:rPr>
          <w:sz w:val="23"/>
          <w:szCs w:val="23"/>
        </w:rPr>
        <w:t xml:space="preserve">sarebbe stata </w:t>
      </w:r>
      <w:r w:rsidR="00F43608">
        <w:rPr>
          <w:sz w:val="23"/>
          <w:szCs w:val="23"/>
        </w:rPr>
        <w:t xml:space="preserve">poi </w:t>
      </w:r>
      <w:r w:rsidR="00F43608" w:rsidRPr="001933C4">
        <w:rPr>
          <w:sz w:val="23"/>
          <w:szCs w:val="23"/>
        </w:rPr>
        <w:t>destinata</w:t>
      </w:r>
      <w:r w:rsidR="001933C4" w:rsidRPr="001933C4">
        <w:rPr>
          <w:sz w:val="23"/>
          <w:szCs w:val="23"/>
        </w:rPr>
        <w:t xml:space="preserve"> al cantiere occorrente per l'esecuzione dell'opera appaltata.</w:t>
      </w:r>
      <w:r w:rsidR="001933C4">
        <w:rPr>
          <w:sz w:val="23"/>
          <w:szCs w:val="23"/>
        </w:rPr>
        <w:t xml:space="preserve"> Questo percorso logico, a parere della Corte dei Conti</w:t>
      </w:r>
      <w:r w:rsidR="00F43608">
        <w:rPr>
          <w:sz w:val="23"/>
          <w:szCs w:val="23"/>
        </w:rPr>
        <w:t xml:space="preserve"> Calabria</w:t>
      </w:r>
      <w:r w:rsidR="001933C4">
        <w:rPr>
          <w:sz w:val="23"/>
          <w:szCs w:val="23"/>
        </w:rPr>
        <w:t>, portava a ritenere esente l’occupazione ancorché eseguita da ditta privata.</w:t>
      </w:r>
    </w:p>
    <w:p w14:paraId="3D75185F" w14:textId="35F9B721" w:rsidR="00F43608" w:rsidRPr="001933C4" w:rsidRDefault="00F43608" w:rsidP="001933C4">
      <w:pPr>
        <w:jc w:val="both"/>
        <w:rPr>
          <w:sz w:val="23"/>
          <w:szCs w:val="23"/>
        </w:rPr>
      </w:pPr>
      <w:r>
        <w:rPr>
          <w:sz w:val="23"/>
          <w:szCs w:val="23"/>
        </w:rPr>
        <w:t>La sentenza del Tribunale di Bari, riporta invece la questione nei binari già condivisi sulla soggettività passiva delle ditte edili che eseguono cantieri dedicati a lavori per conto di soggetti pubblici</w:t>
      </w:r>
      <w:r w:rsidR="000B39B4">
        <w:rPr>
          <w:sz w:val="23"/>
          <w:szCs w:val="23"/>
        </w:rPr>
        <w:t>, almeno fino alla prossima pronuncia.</w:t>
      </w:r>
    </w:p>
    <w:p w14:paraId="489AC7CE" w14:textId="61E487C1" w:rsidR="00EC53DB" w:rsidRPr="00EC53DB" w:rsidRDefault="00EC53DB" w:rsidP="008C26B2">
      <w:pPr>
        <w:jc w:val="both"/>
      </w:pPr>
    </w:p>
    <w:sectPr w:rsidR="00EC53DB" w:rsidRPr="00EC53D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E4F"/>
    <w:rsid w:val="00053F5F"/>
    <w:rsid w:val="00060149"/>
    <w:rsid w:val="000B3516"/>
    <w:rsid w:val="000B39B4"/>
    <w:rsid w:val="001933C4"/>
    <w:rsid w:val="00272755"/>
    <w:rsid w:val="003C3006"/>
    <w:rsid w:val="00572D8B"/>
    <w:rsid w:val="007B1496"/>
    <w:rsid w:val="008C26B2"/>
    <w:rsid w:val="008D2E4F"/>
    <w:rsid w:val="00CA7B84"/>
    <w:rsid w:val="00CB1824"/>
    <w:rsid w:val="00CF3BA2"/>
    <w:rsid w:val="00D84F29"/>
    <w:rsid w:val="00EC53DB"/>
    <w:rsid w:val="00F3547C"/>
    <w:rsid w:val="00F436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48A71"/>
  <w15:chartTrackingRefBased/>
  <w15:docId w15:val="{841A46D2-6D08-4177-91AE-4FF7604A9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D2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8D2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8D2E4F"/>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8D2E4F"/>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8D2E4F"/>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8D2E4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D2E4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D2E4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D2E4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D2E4F"/>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8D2E4F"/>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8D2E4F"/>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8D2E4F"/>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8D2E4F"/>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8D2E4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D2E4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D2E4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D2E4F"/>
    <w:rPr>
      <w:rFonts w:eastAsiaTheme="majorEastAsia" w:cstheme="majorBidi"/>
      <w:color w:val="272727" w:themeColor="text1" w:themeTint="D8"/>
    </w:rPr>
  </w:style>
  <w:style w:type="paragraph" w:styleId="Titolo">
    <w:name w:val="Title"/>
    <w:basedOn w:val="Normale"/>
    <w:next w:val="Normale"/>
    <w:link w:val="TitoloCarattere"/>
    <w:uiPriority w:val="10"/>
    <w:qFormat/>
    <w:rsid w:val="008D2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D2E4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D2E4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D2E4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D2E4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D2E4F"/>
    <w:rPr>
      <w:i/>
      <w:iCs/>
      <w:color w:val="404040" w:themeColor="text1" w:themeTint="BF"/>
    </w:rPr>
  </w:style>
  <w:style w:type="paragraph" w:styleId="Paragrafoelenco">
    <w:name w:val="List Paragraph"/>
    <w:basedOn w:val="Normale"/>
    <w:uiPriority w:val="34"/>
    <w:qFormat/>
    <w:rsid w:val="008D2E4F"/>
    <w:pPr>
      <w:ind w:left="720"/>
      <w:contextualSpacing/>
    </w:pPr>
  </w:style>
  <w:style w:type="character" w:styleId="Enfasiintensa">
    <w:name w:val="Intense Emphasis"/>
    <w:basedOn w:val="Carpredefinitoparagrafo"/>
    <w:uiPriority w:val="21"/>
    <w:qFormat/>
    <w:rsid w:val="008D2E4F"/>
    <w:rPr>
      <w:i/>
      <w:iCs/>
      <w:color w:val="2F5496" w:themeColor="accent1" w:themeShade="BF"/>
    </w:rPr>
  </w:style>
  <w:style w:type="paragraph" w:styleId="Citazioneintensa">
    <w:name w:val="Intense Quote"/>
    <w:basedOn w:val="Normale"/>
    <w:next w:val="Normale"/>
    <w:link w:val="CitazioneintensaCarattere"/>
    <w:uiPriority w:val="30"/>
    <w:qFormat/>
    <w:rsid w:val="008D2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D2E4F"/>
    <w:rPr>
      <w:i/>
      <w:iCs/>
      <w:color w:val="2F5496" w:themeColor="accent1" w:themeShade="BF"/>
    </w:rPr>
  </w:style>
  <w:style w:type="character" w:styleId="Riferimentointenso">
    <w:name w:val="Intense Reference"/>
    <w:basedOn w:val="Carpredefinitoparagrafo"/>
    <w:uiPriority w:val="32"/>
    <w:qFormat/>
    <w:rsid w:val="008D2E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1043</Words>
  <Characters>5946</Characters>
  <Application>Microsoft Office Word</Application>
  <DocSecurity>0</DocSecurity>
  <Lines>49</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9</cp:revision>
  <dcterms:created xsi:type="dcterms:W3CDTF">2025-10-14T14:31:00Z</dcterms:created>
  <dcterms:modified xsi:type="dcterms:W3CDTF">2025-10-17T10:59:00Z</dcterms:modified>
</cp:coreProperties>
</file>