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2712" w14:textId="0107A57F" w:rsidR="00060149" w:rsidRDefault="0081457D">
      <w:r>
        <w:t>Titolo: la posizione della società che gestisce l’infrastruttura telefonica nel nostro Paese</w:t>
      </w:r>
      <w:r w:rsidR="00D50A4D">
        <w:t xml:space="preserve"> sul tema della s</w:t>
      </w:r>
      <w:r w:rsidR="00D50A4D">
        <w:t>oggettività passiva in via mediata.</w:t>
      </w:r>
    </w:p>
    <w:p w14:paraId="50C661B8" w14:textId="659C8744" w:rsidR="0081457D" w:rsidRDefault="0081457D">
      <w:r>
        <w:t>Di Alessandro Merciari</w:t>
      </w:r>
    </w:p>
    <w:p w14:paraId="73A08CB6" w14:textId="74BBA01E" w:rsidR="0081457D" w:rsidRDefault="00D50A4D" w:rsidP="00FB399B">
      <w:pPr>
        <w:jc w:val="both"/>
      </w:pPr>
      <w:r>
        <w:t xml:space="preserve">Sulla annosa questione </w:t>
      </w:r>
      <w:r w:rsidR="00FB399B">
        <w:t xml:space="preserve">della </w:t>
      </w:r>
      <w:bookmarkStart w:id="0" w:name="_Hlk220764924"/>
      <w:r w:rsidR="00FB399B" w:rsidRPr="00FB399B">
        <w:rPr>
          <w:i/>
          <w:iCs/>
        </w:rPr>
        <w:t>soggettività passiva in via mediata</w:t>
      </w:r>
      <w:r w:rsidR="00FB399B">
        <w:t xml:space="preserve"> </w:t>
      </w:r>
      <w:bookmarkEnd w:id="0"/>
      <w:r>
        <w:t xml:space="preserve">che sta tormentando la gestione del Canone </w:t>
      </w:r>
      <w:r w:rsidR="00FB399B">
        <w:t xml:space="preserve">Unico </w:t>
      </w:r>
      <w:r>
        <w:t>per i servizi di rete</w:t>
      </w:r>
      <w:r w:rsidR="00FB399B">
        <w:t>,</w:t>
      </w:r>
      <w:r>
        <w:t xml:space="preserve"> è interessante e per certi versi dirimente</w:t>
      </w:r>
      <w:r w:rsidR="00FB399B">
        <w:t>,</w:t>
      </w:r>
      <w:r>
        <w:t xml:space="preserve"> </w:t>
      </w:r>
      <w:r w:rsidR="00FB399B">
        <w:t xml:space="preserve">leggere </w:t>
      </w:r>
      <w:r>
        <w:t xml:space="preserve">quanto sostiene la </w:t>
      </w:r>
      <w:r w:rsidR="00FB399B">
        <w:t xml:space="preserve">stessa </w:t>
      </w:r>
      <w:r>
        <w:t>società che ha rilevato</w:t>
      </w:r>
      <w:r w:rsidR="00B5413A">
        <w:t xml:space="preserve"> nel 2014</w:t>
      </w:r>
      <w:r>
        <w:t xml:space="preserve"> l’infrastruttura da TIM.</w:t>
      </w:r>
    </w:p>
    <w:p w14:paraId="6DD915FC" w14:textId="37CA4DD8" w:rsidR="00FB399B" w:rsidRDefault="00FB399B" w:rsidP="00FB399B">
      <w:pPr>
        <w:jc w:val="both"/>
      </w:pPr>
      <w:r w:rsidRPr="00FB399B">
        <w:t xml:space="preserve">La </w:t>
      </w:r>
      <w:r w:rsidRPr="00FB399B">
        <w:rPr>
          <w:i/>
          <w:iCs/>
        </w:rPr>
        <w:t>soggettività passiva in via mediata</w:t>
      </w:r>
      <w:r w:rsidRPr="00FB399B">
        <w:t xml:space="preserve"> introdotta con la Legge finanziaria 2021 che aveva emendato il comma 831 della Legge 160/2019 dedicato al pagamento del canone per le occupazioni permanenti con cavi e condutture, </w:t>
      </w:r>
      <w:r w:rsidR="00B72AA0">
        <w:t>doveva nelle intenzioni del legislatore,</w:t>
      </w:r>
      <w:r w:rsidRPr="00FB399B">
        <w:t xml:space="preserve"> risolvere una questione che si trascinava dai precedenti prelievi </w:t>
      </w:r>
      <w:r w:rsidR="00B72AA0">
        <w:t>circa</w:t>
      </w:r>
      <w:r w:rsidRPr="00FB399B">
        <w:t xml:space="preserve"> l’utilizzo delle infrastrutture da parte di soggetti diversi che non erano titolari della rete.</w:t>
      </w:r>
    </w:p>
    <w:p w14:paraId="38EAA29D" w14:textId="75132080" w:rsidR="009B3DD7" w:rsidRDefault="009B3DD7" w:rsidP="009B3DD7">
      <w:pPr>
        <w:jc w:val="both"/>
      </w:pPr>
      <w:r>
        <w:t xml:space="preserve">A </w:t>
      </w:r>
      <w:r w:rsidRPr="009B3DD7">
        <w:t xml:space="preserve">seguito dell’introduzione della norma di interpretazione autentica introdotta con la Legge 146/2021, l’unico settore dove è ancora possibile applicare la </w:t>
      </w:r>
      <w:r w:rsidRPr="009B3DD7">
        <w:rPr>
          <w:i/>
          <w:iCs/>
        </w:rPr>
        <w:t>soggettività passiva in via mediata</w:t>
      </w:r>
      <w:r w:rsidRPr="009B3DD7">
        <w:t xml:space="preserve"> è quello delle </w:t>
      </w:r>
      <w:r w:rsidRPr="009310D5">
        <w:rPr>
          <w:i/>
          <w:iCs/>
        </w:rPr>
        <w:t>Telecomunicazioni</w:t>
      </w:r>
      <w:r w:rsidRPr="009B3DD7">
        <w:t xml:space="preserve">, inteso come erogazione di servizi voce e internet con linee di rete fissa e trasmissione dati con fibra e cavi. In questo settore le diverse compagnie presenti sul mercato, utilizzano a vario titolo le infrastrutture, sia come titolari della concessione per l’occupazione, sia come occupanti di fatto, sia come utilizzatori in via mediata. In nessun altro settore si registra la compresenza di più operatori che possono competere sul mercato indifferentemente </w:t>
      </w:r>
      <w:r w:rsidR="009310D5">
        <w:t xml:space="preserve">che siano </w:t>
      </w:r>
      <w:r w:rsidRPr="009B3DD7">
        <w:t>proprietari dell’infrastruttura o semplicemente ne sfrutt</w:t>
      </w:r>
      <w:r w:rsidR="009310D5">
        <w:t>i</w:t>
      </w:r>
      <w:r w:rsidRPr="009B3DD7">
        <w:t>no le potenzialità grazie alle moderne tecnologie di trasmissione</w:t>
      </w:r>
      <w:r w:rsidR="009310D5">
        <w:t>.</w:t>
      </w:r>
    </w:p>
    <w:p w14:paraId="24C13EA0" w14:textId="514E10B1" w:rsidR="009310D5" w:rsidRDefault="003407A7" w:rsidP="009310D5">
      <w:pPr>
        <w:jc w:val="both"/>
      </w:pPr>
      <w:r>
        <w:t xml:space="preserve">Le compagnie telefoniche </w:t>
      </w:r>
      <w:r w:rsidR="009310D5">
        <w:t>chiamat</w:t>
      </w:r>
      <w:r>
        <w:t xml:space="preserve">e </w:t>
      </w:r>
      <w:r w:rsidR="009310D5">
        <w:t xml:space="preserve">oggi a dichiarare le proprie utenze e a versare il canone sulla base della </w:t>
      </w:r>
      <w:r w:rsidR="009310D5" w:rsidRPr="00FB399B">
        <w:rPr>
          <w:i/>
          <w:iCs/>
        </w:rPr>
        <w:t>soggettività passiva in via mediata</w:t>
      </w:r>
      <w:r w:rsidR="009310D5">
        <w:rPr>
          <w:i/>
          <w:iCs/>
        </w:rPr>
        <w:t>,</w:t>
      </w:r>
      <w:r w:rsidR="009310D5" w:rsidRPr="00FB399B">
        <w:t xml:space="preserve"> </w:t>
      </w:r>
      <w:r w:rsidR="009310D5" w:rsidRPr="009310D5">
        <w:t>utilizzano le reti altrui mediante collegamenti tecnologici quali ad esempio VULA (Virtual Unbundled Local Access), NGA (Next Generetion Access) e SLU (Sub Loop Unbundling) ovvero tutte quelle modalità che gli operatori di rete hanno a disposizione per accedere alla rete dell'operatore concessionato</w:t>
      </w:r>
      <w:r w:rsidR="00E8784B">
        <w:t>.</w:t>
      </w:r>
    </w:p>
    <w:p w14:paraId="1DE3E390" w14:textId="69C135C6" w:rsidR="00E8784B" w:rsidRDefault="003407A7" w:rsidP="003407A7">
      <w:pPr>
        <w:jc w:val="both"/>
      </w:pPr>
      <w:r>
        <w:t xml:space="preserve">Inutile da parte di queste </w:t>
      </w:r>
      <w:r>
        <w:t>società</w:t>
      </w:r>
      <w:r>
        <w:t xml:space="preserve"> invocare la norma di interpretazione autentica voluta per i settori del gas e dell’energia elettrica. Non può trovare applicazione in questo settore non caratterizzato dalla divisione netta tra chi è concessionario delle reti e chi le commercializza. Il sistema delle comunicazioni che viaggiano su reti fisiche ha evidenti caratteristiche che non possono vedere applicato in nessun modo il criterio voluto dal Dl 146/2021</w:t>
      </w:r>
      <w:r>
        <w:t>.</w:t>
      </w:r>
    </w:p>
    <w:p w14:paraId="76D4D666" w14:textId="78E044C8" w:rsidR="003407A7" w:rsidRDefault="003407A7" w:rsidP="003407A7">
      <w:pPr>
        <w:jc w:val="both"/>
      </w:pPr>
      <w:r>
        <w:t xml:space="preserve">A pensarla così è la stessa società </w:t>
      </w:r>
      <w:r w:rsidR="00795124">
        <w:t xml:space="preserve">FiberCop, </w:t>
      </w:r>
      <w:r>
        <w:t xml:space="preserve">che a partire dal luglio 2024 gestisce l’infrastruttura telefonica. Società che si definisce </w:t>
      </w:r>
      <w:r w:rsidRPr="0081457D">
        <w:t>Wholesale</w:t>
      </w:r>
      <w:r w:rsidR="0081457D" w:rsidRPr="0081457D">
        <w:rPr>
          <w:i/>
          <w:iCs/>
        </w:rPr>
        <w:t xml:space="preserve"> Only (senza utenze), </w:t>
      </w:r>
      <w:r w:rsidR="0081457D" w:rsidRPr="0081457D">
        <w:t>che svolge</w:t>
      </w:r>
      <w:r w:rsidR="0081457D" w:rsidRPr="0081457D">
        <w:rPr>
          <w:i/>
          <w:iCs/>
        </w:rPr>
        <w:t xml:space="preserve"> </w:t>
      </w:r>
      <w:r w:rsidR="0081457D" w:rsidRPr="0081457D">
        <w:t xml:space="preserve">un’attività – la messa a disposizione della rete di comunicazioni elettroniche – strumentale all’erogazione del servizio pubblico di telecomunicazioni fornito dai singoli operatori. </w:t>
      </w:r>
    </w:p>
    <w:p w14:paraId="35BB4033" w14:textId="615E0E5A" w:rsidR="0081457D" w:rsidRPr="0081457D" w:rsidRDefault="003407A7" w:rsidP="003407A7">
      <w:pPr>
        <w:jc w:val="both"/>
      </w:pPr>
      <w:r>
        <w:t>Scrive la società in risposta a</w:t>
      </w:r>
      <w:r w:rsidR="00D81F4F">
        <w:t xml:space="preserve"> </w:t>
      </w:r>
      <w:r>
        <w:t>un Ente locale</w:t>
      </w:r>
      <w:r w:rsidR="00D81F4F">
        <w:t xml:space="preserve"> che le contestava il mancato pagamento sulla base delle utenze attive,</w:t>
      </w:r>
      <w:r>
        <w:t xml:space="preserve"> </w:t>
      </w:r>
      <w:r w:rsidR="00F067DF">
        <w:t xml:space="preserve">che </w:t>
      </w:r>
      <w:r w:rsidR="00F067DF" w:rsidRPr="0081457D">
        <w:t>sono</w:t>
      </w:r>
      <w:r w:rsidR="0081457D" w:rsidRPr="0081457D">
        <w:t xml:space="preserve"> i singoli operatori </w:t>
      </w:r>
      <w:r w:rsidR="00795124">
        <w:t>che devono versare</w:t>
      </w:r>
      <w:r w:rsidR="00795124" w:rsidRPr="0081457D">
        <w:t xml:space="preserve"> </w:t>
      </w:r>
      <w:r w:rsidR="00795124">
        <w:t>in quanto</w:t>
      </w:r>
      <w:r w:rsidR="0081457D" w:rsidRPr="0081457D">
        <w:t xml:space="preserve"> risultano titolari delle utenze finali e utilizzano in via mediata le infrastrutture</w:t>
      </w:r>
      <w:r w:rsidR="000D3EA0">
        <w:t xml:space="preserve">. </w:t>
      </w:r>
      <w:r w:rsidR="00795124">
        <w:t xml:space="preserve">Per questa ragione </w:t>
      </w:r>
      <w:r w:rsidR="000D3EA0" w:rsidRPr="000D3EA0">
        <w:t>l’obbligo di pagamento</w:t>
      </w:r>
      <w:r w:rsidR="00795124">
        <w:t xml:space="preserve"> con calcolo ad utenza</w:t>
      </w:r>
      <w:r w:rsidR="000D3EA0" w:rsidRPr="000D3EA0">
        <w:t xml:space="preserve"> insiste sui singoli operatori.</w:t>
      </w:r>
    </w:p>
    <w:p w14:paraId="6B9AA304" w14:textId="70598FBF" w:rsidR="0081457D" w:rsidRPr="0081457D" w:rsidRDefault="00F067DF" w:rsidP="003407A7">
      <w:pPr>
        <w:jc w:val="both"/>
      </w:pPr>
      <w:r>
        <w:t>A</w:t>
      </w:r>
      <w:r w:rsidR="0081457D" w:rsidRPr="0081457D">
        <w:t xml:space="preserve">l fine di contribuire a definire lo scenario normativo di riferimento, </w:t>
      </w:r>
      <w:r>
        <w:t>la società richiama</w:t>
      </w:r>
      <w:r w:rsidR="000D3EA0">
        <w:t>, e trasmette all’Ente,</w:t>
      </w:r>
      <w:r>
        <w:t xml:space="preserve"> </w:t>
      </w:r>
      <w:r w:rsidR="0081457D" w:rsidRPr="0081457D">
        <w:t>una recente sentenza del Tribunale di Piacenza</w:t>
      </w:r>
      <w:r w:rsidR="00795124">
        <w:t>,</w:t>
      </w:r>
      <w:r w:rsidR="000D3EA0">
        <w:t xml:space="preserve"> che abbiamo commentato di recente sulla piattaforma</w:t>
      </w:r>
      <w:r w:rsidR="0081457D" w:rsidRPr="0081457D">
        <w:t xml:space="preserve">, concernente i criteri di individuazione dei soggetti sottoposti all’obbligo di pagamento del Canone unico patrimoniale, </w:t>
      </w:r>
      <w:r>
        <w:t xml:space="preserve">sottolineando come questa </w:t>
      </w:r>
      <w:r w:rsidR="0081457D" w:rsidRPr="0081457D">
        <w:t>si colloca nel solco del recente orientamento giurisprudenziale che si sta consolidando sulla materia.</w:t>
      </w:r>
    </w:p>
    <w:p w14:paraId="266CBD07" w14:textId="3B062FF7" w:rsidR="0081457D" w:rsidRPr="00977C02" w:rsidRDefault="000D3EA0" w:rsidP="00977C02">
      <w:pPr>
        <w:jc w:val="both"/>
      </w:pPr>
      <w:r>
        <w:t xml:space="preserve">Effettivamente </w:t>
      </w:r>
      <w:r w:rsidR="00795124">
        <w:t>la</w:t>
      </w:r>
      <w:r>
        <w:t xml:space="preserve"> sentenza</w:t>
      </w:r>
      <w:r w:rsidR="00795124">
        <w:t xml:space="preserve"> del tribunale di Piacenza</w:t>
      </w:r>
      <w:r>
        <w:t xml:space="preserve"> ha il pregio di esprimere con chiarezza le questioni aperte sulla corretta applicazione del canone nel settore delle telecomunicazioni. </w:t>
      </w:r>
      <w:r w:rsidR="0081457D" w:rsidRPr="00977C02">
        <w:t xml:space="preserve">In particolare, la pronuncia </w:t>
      </w:r>
      <w:r w:rsidR="0081457D" w:rsidRPr="00977C02">
        <w:lastRenderedPageBreak/>
        <w:t>conferma in maniera puntuale che in tema di canone unico patrimoniale per l'occupazione di suolo pubblico, l'art. 5, comma 14-quinquies, del D.L. 146/2021, che ha introdotto una norma di interpretazione autentica dell'art. 1, comma 831, della L. 160/2019, esclude la soggettività passiva in via mediata e l'utilizzo materiale delle infrastrutture da parte delle società di vendita esclusivamente con riferimento ai settori in cui è prevista una separazione, in ragione di assetti normativi, regolamentari o contrattuali, tra i soggetti titolari delle infrastrutture e i soggetti titolari del contratto di vendita del bene distribuito alla clientela finale, quali i settori del gas e dell'energia elettrica. Tale esclusione non trova applicazione nel settore delle telecomunicazioni, dove l'operatore telefonico che eroga servizi di telefonia avvalendosi della rete infrastrutturale altrui non si limita alla mera commercializzazione del servizio ma fa uso, seppur mediato, della rete del concessionario, collegandovisi mediante sistemi di connessione tecnica. Il criterio di materialità dell'uso dell'infrastruttura altrui, rilevante ai fini della soggettività passiva del canone, deve intendersi comprensivo anche delle modalità di utilizzo virtuale, in considerazione dell'evoluzione tecnologica nel campo della telefonia. Ne consegue che l'operatore telefonico privo di rete propria, che utilizza in via mediata l'infrastruttura del concessionario rientra nella previsione dell'art. 1, comma 831, della L. 160/2019, come modificato dalla L. 178/2020, e deve essere considerato soggetto passivo ai fini del canone unico patrimoniale.</w:t>
      </w:r>
    </w:p>
    <w:p w14:paraId="349C70AA" w14:textId="5EFCD5B7" w:rsidR="0081457D" w:rsidRDefault="0081457D" w:rsidP="00977C02">
      <w:pPr>
        <w:jc w:val="both"/>
      </w:pPr>
      <w:r w:rsidRPr="0081457D">
        <w:t xml:space="preserve">Pertanto, </w:t>
      </w:r>
      <w:r w:rsidR="000D3EA0">
        <w:t xml:space="preserve">scrive la stessa società titolare della rete, che a lei </w:t>
      </w:r>
      <w:r w:rsidRPr="0081457D">
        <w:t xml:space="preserve">spetta il versamento del canone unico nella misura minima prevista dalla normativa applicabile, canone puntualmente già pagato, mentre ai singoli operatori – da cui dipende peraltro il numero di utenze finali, spetta il pagamento del canone calcolato sulla base delle utenze. </w:t>
      </w:r>
    </w:p>
    <w:p w14:paraId="1BA0B4E7" w14:textId="21EB1119" w:rsidR="000D3EA0" w:rsidRPr="0081457D" w:rsidRDefault="00B5413A" w:rsidP="00977C02">
      <w:pPr>
        <w:jc w:val="both"/>
      </w:pPr>
      <w:r>
        <w:t xml:space="preserve">Inutile dire che ora sarebbe auspicabile un comportamento coerente con questa posizione da parte di tutti gli operatori che sfruttano la </w:t>
      </w:r>
      <w:r w:rsidR="00795124">
        <w:t xml:space="preserve">stessa </w:t>
      </w:r>
      <w:r>
        <w:t xml:space="preserve">rete del concessionario. Invece assistiamo ad un rimbalzo di responsabilità che, a distanza di 5 anni, </w:t>
      </w:r>
      <w:r w:rsidR="00795124">
        <w:t>costringe</w:t>
      </w:r>
      <w:r>
        <w:t xml:space="preserve"> ancora a dover gestire solo in sede contenziosa la giusta definizione di canone da versare</w:t>
      </w:r>
      <w:r w:rsidR="00795124">
        <w:t xml:space="preserve"> a favore dei Comuni e delle Province.</w:t>
      </w:r>
    </w:p>
    <w:p w14:paraId="2ACE2575" w14:textId="77777777" w:rsidR="0081457D" w:rsidRPr="0081457D" w:rsidRDefault="0081457D" w:rsidP="0081457D"/>
    <w:p w14:paraId="3446DB0B" w14:textId="77777777" w:rsidR="0081457D" w:rsidRDefault="0081457D"/>
    <w:sectPr w:rsidR="008145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562"/>
    <w:rsid w:val="00060149"/>
    <w:rsid w:val="000D3EA0"/>
    <w:rsid w:val="001810A1"/>
    <w:rsid w:val="003407A7"/>
    <w:rsid w:val="00795124"/>
    <w:rsid w:val="007B1496"/>
    <w:rsid w:val="0081457D"/>
    <w:rsid w:val="00830445"/>
    <w:rsid w:val="009310D5"/>
    <w:rsid w:val="00977C02"/>
    <w:rsid w:val="009B3DD7"/>
    <w:rsid w:val="00B5413A"/>
    <w:rsid w:val="00B72AA0"/>
    <w:rsid w:val="00D17562"/>
    <w:rsid w:val="00D50A4D"/>
    <w:rsid w:val="00D81F4F"/>
    <w:rsid w:val="00E8784B"/>
    <w:rsid w:val="00F067DF"/>
    <w:rsid w:val="00FB399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933F"/>
  <w15:chartTrackingRefBased/>
  <w15:docId w15:val="{97B96EB5-D091-4407-BB3F-F748D07E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17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17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1756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1756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1756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1756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1756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1756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1756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1756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1756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1756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1756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1756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1756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1756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1756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17562"/>
    <w:rPr>
      <w:rFonts w:eastAsiaTheme="majorEastAsia" w:cstheme="majorBidi"/>
      <w:color w:val="272727" w:themeColor="text1" w:themeTint="D8"/>
    </w:rPr>
  </w:style>
  <w:style w:type="paragraph" w:styleId="Titolo">
    <w:name w:val="Title"/>
    <w:basedOn w:val="Normale"/>
    <w:next w:val="Normale"/>
    <w:link w:val="TitoloCarattere"/>
    <w:uiPriority w:val="10"/>
    <w:qFormat/>
    <w:rsid w:val="00D17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1756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1756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1756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1756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17562"/>
    <w:rPr>
      <w:i/>
      <w:iCs/>
      <w:color w:val="404040" w:themeColor="text1" w:themeTint="BF"/>
    </w:rPr>
  </w:style>
  <w:style w:type="paragraph" w:styleId="Paragrafoelenco">
    <w:name w:val="List Paragraph"/>
    <w:basedOn w:val="Normale"/>
    <w:uiPriority w:val="34"/>
    <w:qFormat/>
    <w:rsid w:val="00D17562"/>
    <w:pPr>
      <w:ind w:left="720"/>
      <w:contextualSpacing/>
    </w:pPr>
  </w:style>
  <w:style w:type="character" w:styleId="Enfasiintensa">
    <w:name w:val="Intense Emphasis"/>
    <w:basedOn w:val="Carpredefinitoparagrafo"/>
    <w:uiPriority w:val="21"/>
    <w:qFormat/>
    <w:rsid w:val="00D17562"/>
    <w:rPr>
      <w:i/>
      <w:iCs/>
      <w:color w:val="2F5496" w:themeColor="accent1" w:themeShade="BF"/>
    </w:rPr>
  </w:style>
  <w:style w:type="paragraph" w:styleId="Citazioneintensa">
    <w:name w:val="Intense Quote"/>
    <w:basedOn w:val="Normale"/>
    <w:next w:val="Normale"/>
    <w:link w:val="CitazioneintensaCarattere"/>
    <w:uiPriority w:val="30"/>
    <w:qFormat/>
    <w:rsid w:val="00D17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17562"/>
    <w:rPr>
      <w:i/>
      <w:iCs/>
      <w:color w:val="2F5496" w:themeColor="accent1" w:themeShade="BF"/>
    </w:rPr>
  </w:style>
  <w:style w:type="character" w:styleId="Riferimentointenso">
    <w:name w:val="Intense Reference"/>
    <w:basedOn w:val="Carpredefinitoparagrafo"/>
    <w:uiPriority w:val="32"/>
    <w:qFormat/>
    <w:rsid w:val="00D17562"/>
    <w:rPr>
      <w:b/>
      <w:bCs/>
      <w:smallCaps/>
      <w:color w:val="2F5496" w:themeColor="accent1" w:themeShade="BF"/>
      <w:spacing w:val="5"/>
    </w:rPr>
  </w:style>
  <w:style w:type="character" w:styleId="Collegamentoipertestuale">
    <w:name w:val="Hyperlink"/>
    <w:basedOn w:val="Carpredefinitoparagrafo"/>
    <w:uiPriority w:val="99"/>
    <w:unhideWhenUsed/>
    <w:rsid w:val="0081457D"/>
    <w:rPr>
      <w:color w:val="0563C1" w:themeColor="hyperlink"/>
      <w:u w:val="single"/>
    </w:rPr>
  </w:style>
  <w:style w:type="character" w:styleId="Menzionenonrisolta">
    <w:name w:val="Unresolved Mention"/>
    <w:basedOn w:val="Carpredefinitoparagrafo"/>
    <w:uiPriority w:val="99"/>
    <w:semiHidden/>
    <w:unhideWhenUsed/>
    <w:rsid w:val="0081457D"/>
    <w:rPr>
      <w:color w:val="605E5C"/>
      <w:shd w:val="clear" w:color="auto" w:fill="E1DFDD"/>
    </w:rPr>
  </w:style>
  <w:style w:type="paragraph" w:customStyle="1" w:styleId="Default">
    <w:name w:val="Default"/>
    <w:rsid w:val="003407A7"/>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950</Words>
  <Characters>5418</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9</cp:revision>
  <dcterms:created xsi:type="dcterms:W3CDTF">2026-01-29T16:03:00Z</dcterms:created>
  <dcterms:modified xsi:type="dcterms:W3CDTF">2026-01-31T15:56:00Z</dcterms:modified>
</cp:coreProperties>
</file>