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8CEBC" w14:textId="2B734F88" w:rsidR="00060149" w:rsidRDefault="00E73FAE">
      <w:r>
        <w:t>Titolo: la pubblicità realizzata nelle vetrine delle attività commerciali</w:t>
      </w:r>
      <w:r w:rsidR="00AF31EB">
        <w:t xml:space="preserve"> è soggetta al CUP</w:t>
      </w:r>
    </w:p>
    <w:p w14:paraId="3DCE6A9D" w14:textId="3972EE17" w:rsidR="00E73FAE" w:rsidRDefault="00E73FAE" w:rsidP="00E73FAE">
      <w:pPr>
        <w:jc w:val="both"/>
      </w:pPr>
      <w:r>
        <w:t xml:space="preserve">Tra le diverse forme di diffusione pubblicitaria attratte nel presupposto del nuovo Canone Unico Patrimoniale, c’è la cosiddetta </w:t>
      </w:r>
      <w:r w:rsidR="001F32D2">
        <w:t>“p</w:t>
      </w:r>
      <w:r>
        <w:t>ubblicità in vetrina</w:t>
      </w:r>
      <w:r w:rsidR="001F32D2">
        <w:t>”</w:t>
      </w:r>
      <w:r>
        <w:t>. Ovvero tutte quelle iniziative pubblicitarie che le attività commerciali presenti nei nostri comuni effettuano</w:t>
      </w:r>
      <w:r w:rsidR="00E718F1">
        <w:t>,</w:t>
      </w:r>
      <w:r>
        <w:t xml:space="preserve"> per promuovere la propria attività e la vendita di propri prodotti e servizi</w:t>
      </w:r>
      <w:r w:rsidR="001F32D2">
        <w:t xml:space="preserve">, </w:t>
      </w:r>
      <w:r w:rsidR="00E718F1">
        <w:t xml:space="preserve">negli spazi interni ai locali </w:t>
      </w:r>
      <w:r w:rsidR="001F32D2">
        <w:t>rivolt</w:t>
      </w:r>
      <w:r w:rsidR="00E718F1">
        <w:t>i</w:t>
      </w:r>
      <w:r w:rsidR="001F32D2">
        <w:t xml:space="preserve"> verso il potenziale pubblico che transita</w:t>
      </w:r>
      <w:r w:rsidR="00E718F1">
        <w:t xml:space="preserve"> esternamente.</w:t>
      </w:r>
    </w:p>
    <w:p w14:paraId="7C2AB0B1" w14:textId="6D07AF1D" w:rsidR="00E73FAE" w:rsidRDefault="00E73FAE" w:rsidP="00E73FAE">
      <w:pPr>
        <w:jc w:val="both"/>
      </w:pPr>
      <w:r>
        <w:t>Storicamente è sempre stata una forma di pubblicità piuttosto travagliata, caratterizzata da difficoltà di identificazione, difficoltà di misurazione</w:t>
      </w:r>
      <w:r w:rsidR="001F32D2">
        <w:t xml:space="preserve">, con la valutazione dei limiti dimensionali in base ai quali può considerarsi esente, </w:t>
      </w:r>
      <w:r w:rsidR="00494309">
        <w:t>e difficoltà</w:t>
      </w:r>
      <w:r>
        <w:t xml:space="preserve"> di accertamento data la sua natura spesso precaria</w:t>
      </w:r>
      <w:r w:rsidR="001F32D2">
        <w:t xml:space="preserve">. </w:t>
      </w:r>
      <w:r w:rsidR="00494309">
        <w:t xml:space="preserve"> </w:t>
      </w:r>
    </w:p>
    <w:p w14:paraId="1673C812" w14:textId="2F62D043" w:rsidR="00494309" w:rsidRDefault="00E718F1" w:rsidP="00E73FAE">
      <w:pPr>
        <w:jc w:val="both"/>
      </w:pPr>
      <w:r>
        <w:t>Rappresenta</w:t>
      </w:r>
      <w:r w:rsidR="00E73FAE">
        <w:t xml:space="preserve"> una </w:t>
      </w:r>
      <w:r w:rsidR="00494309">
        <w:t xml:space="preserve">delle </w:t>
      </w:r>
      <w:r w:rsidR="00E73FAE">
        <w:t>modalità di propaganda</w:t>
      </w:r>
      <w:r w:rsidR="00494309">
        <w:t xml:space="preserve"> pubblicitaria</w:t>
      </w:r>
      <w:r w:rsidR="00E73FAE">
        <w:t xml:space="preserve"> più diffuse nei contesti cittadini, spesso utilizzata </w:t>
      </w:r>
      <w:r>
        <w:t>dagli esercenti d</w:t>
      </w:r>
      <w:r w:rsidR="00E73FAE">
        <w:t xml:space="preserve">ei </w:t>
      </w:r>
      <w:r>
        <w:t xml:space="preserve">locali dei </w:t>
      </w:r>
      <w:r w:rsidR="00E73FAE">
        <w:t xml:space="preserve">centri storici, </w:t>
      </w:r>
      <w:r>
        <w:t>d</w:t>
      </w:r>
      <w:r w:rsidR="00E73FAE">
        <w:t xml:space="preserve">elle zone del commercio al minuto, </w:t>
      </w:r>
      <w:r>
        <w:t>e in quelli dei</w:t>
      </w:r>
      <w:r w:rsidR="00E73FAE">
        <w:t xml:space="preserve"> centri commerciali</w:t>
      </w:r>
      <w:r>
        <w:t>, di facile realizzazione senza la necessità di particolari manufatti per la loro realizzazione. Per questo merita particolare attenzione, e con questo approfondimento si vuole aiutare ad elaborare una loro corretta valutazione e assoggettabilità al nuovo canone.</w:t>
      </w:r>
    </w:p>
    <w:p w14:paraId="77C4DB6F" w14:textId="77777777" w:rsidR="00966682" w:rsidRDefault="00966682" w:rsidP="00E73FAE">
      <w:pPr>
        <w:jc w:val="both"/>
      </w:pPr>
      <w:r>
        <w:t xml:space="preserve">CASISTICHE </w:t>
      </w:r>
    </w:p>
    <w:p w14:paraId="4087B5A2" w14:textId="60660C9F" w:rsidR="009A677A" w:rsidRDefault="00E718F1" w:rsidP="00E73FAE">
      <w:pPr>
        <w:jc w:val="both"/>
      </w:pPr>
      <w:r>
        <w:t>La fattispecie coinvolge tutti i settori del commercio e dell’artigianato, ma vi sono</w:t>
      </w:r>
      <w:r w:rsidR="00494309">
        <w:t xml:space="preserve"> a</w:t>
      </w:r>
      <w:r w:rsidR="00E73FAE">
        <w:t xml:space="preserve">lcune categorie merceologiche di attività </w:t>
      </w:r>
      <w:r w:rsidR="002760DE">
        <w:t xml:space="preserve">che </w:t>
      </w:r>
      <w:r w:rsidR="00E73FAE">
        <w:t xml:space="preserve">ne fanno grande </w:t>
      </w:r>
      <w:r w:rsidR="001F32D2">
        <w:t>utilizzo</w:t>
      </w:r>
      <w:r w:rsidR="002760DE">
        <w:t>.</w:t>
      </w:r>
      <w:r w:rsidR="00E73FAE">
        <w:t xml:space="preserve"> </w:t>
      </w:r>
      <w:r w:rsidR="002760DE">
        <w:t>P</w:t>
      </w:r>
      <w:r w:rsidR="00E73FAE">
        <w:t>ensiamo ad esempio alle farmacie, con l’esposizione su ciascuna vetrina di visual di ditte farmaceutiche o di cosmetica</w:t>
      </w:r>
      <w:r w:rsidR="002760DE">
        <w:t>, a</w:t>
      </w:r>
      <w:r w:rsidR="00E73FAE">
        <w:t>gli istituti di credito</w:t>
      </w:r>
      <w:r w:rsidR="004C1725">
        <w:t xml:space="preserve"> che attrezzano le proprie vetrine con delle strutture, </w:t>
      </w:r>
      <w:r w:rsidR="00CE34BE">
        <w:t>definite</w:t>
      </w:r>
      <w:r w:rsidR="004C1725">
        <w:t xml:space="preserve"> vetrofanie, nelle quali inserire manifesti e locandine dei prodotti offerti dalla banca</w:t>
      </w:r>
      <w:r w:rsidR="009A677A">
        <w:t>.</w:t>
      </w:r>
      <w:r w:rsidR="004C1725">
        <w:t xml:space="preserve"> </w:t>
      </w:r>
      <w:r w:rsidR="009A677A">
        <w:t>C</w:t>
      </w:r>
      <w:r w:rsidR="004C1725">
        <w:t xml:space="preserve">ome non </w:t>
      </w:r>
      <w:r w:rsidR="00494309">
        <w:t>considerare</w:t>
      </w:r>
      <w:r w:rsidR="00CE34BE">
        <w:t xml:space="preserve"> poi</w:t>
      </w:r>
      <w:r w:rsidR="00494309">
        <w:t xml:space="preserve"> </w:t>
      </w:r>
      <w:r w:rsidR="004C1725">
        <w:t xml:space="preserve">le agenzie immobiliari e le agenzie di viaggio, che, non potendo esporre </w:t>
      </w:r>
      <w:r w:rsidR="009A677A">
        <w:t xml:space="preserve">direttamente </w:t>
      </w:r>
      <w:r w:rsidR="004C1725">
        <w:t>la merce, espongono</w:t>
      </w:r>
      <w:r w:rsidR="009A677A">
        <w:t xml:space="preserve"> </w:t>
      </w:r>
      <w:r w:rsidR="00CE34BE">
        <w:t xml:space="preserve">abitualmente </w:t>
      </w:r>
      <w:r w:rsidR="009A677A">
        <w:t>su tutta la superficie espositiva disponibile</w:t>
      </w:r>
      <w:r w:rsidR="004C1725">
        <w:t xml:space="preserve"> </w:t>
      </w:r>
      <w:r w:rsidR="009A677A">
        <w:t>rivolta versa il pubblico,</w:t>
      </w:r>
      <w:r w:rsidR="00CE34BE">
        <w:t xml:space="preserve"> dei</w:t>
      </w:r>
      <w:r w:rsidR="009A677A">
        <w:t xml:space="preserve"> </w:t>
      </w:r>
      <w:r w:rsidR="004C1725">
        <w:t>cartelli relativi le case in vendita e i viaggi offerti</w:t>
      </w:r>
      <w:r w:rsidR="009A677A">
        <w:t>. Forme di diffusione pubblicitaria che rientrano</w:t>
      </w:r>
      <w:r w:rsidR="00CE34BE">
        <w:t>,</w:t>
      </w:r>
      <w:r w:rsidR="009A677A">
        <w:t xml:space="preserve"> senza </w:t>
      </w:r>
      <w:r w:rsidR="00CE34BE">
        <w:t>timore</w:t>
      </w:r>
      <w:r w:rsidR="009A677A">
        <w:t xml:space="preserve"> di smentit</w:t>
      </w:r>
      <w:r w:rsidR="00CE34BE">
        <w:t>a,</w:t>
      </w:r>
      <w:r w:rsidR="009A677A">
        <w:t xml:space="preserve"> nel presupposto applicativo dell’odierno canone</w:t>
      </w:r>
      <w:r w:rsidR="002760DE">
        <w:t xml:space="preserve">, grazie ad una </w:t>
      </w:r>
      <w:r w:rsidR="009A677A">
        <w:t>giurisprudenza formatasi con la precedente disciplina</w:t>
      </w:r>
      <w:r w:rsidR="002760DE">
        <w:t xml:space="preserve"> che</w:t>
      </w:r>
      <w:r w:rsidR="009A677A">
        <w:t xml:space="preserve"> si è sempre ancorata sulla volontà di promuovere un prodotto o un servizio, rivolt</w:t>
      </w:r>
      <w:r w:rsidR="002760DE">
        <w:t>o</w:t>
      </w:r>
      <w:r w:rsidR="009A677A">
        <w:t xml:space="preserve"> ad una potenziale clientela. La circostanza che alcune categorie di attività non abbiano materialmente la possibilità di esporre nelle vetrine dei propri locali la merce in vendita, non fa venire meno il realizzarsi del presupposto pubblicitario</w:t>
      </w:r>
      <w:r w:rsidR="00CE34BE">
        <w:t>,</w:t>
      </w:r>
      <w:r w:rsidR="009A677A">
        <w:t xml:space="preserve"> tutte le volte che i messaggi pubblicitari esposti, superano i limiti dimensionali </w:t>
      </w:r>
      <w:r w:rsidR="00CE34BE">
        <w:t xml:space="preserve">di esenzione </w:t>
      </w:r>
      <w:r w:rsidR="009A677A">
        <w:t>previsti dal Legislatore.</w:t>
      </w:r>
      <w:r w:rsidR="00944311">
        <w:t xml:space="preserve"> Stesse valutazioni anche per quelle attività che, per imposizione normativa o per scelta, oscurano le vetrine per non far intravedere ciò che avviene all’interno. Pensiamo alle sale da gioco o altre attività rivolte ad un pubblico adulto, le vetrine di questi locali sono ricoperte da gigantografie adesive, che nella maggior parte dei casi </w:t>
      </w:r>
      <w:r w:rsidR="00327681">
        <w:t xml:space="preserve">richiamano l’attività svolta. Il fatto che la legislazione sulle attività di gioco e scommesse imponga loro l’oscuramento verso l’esterno, non le esonera dal pagamento del Cup tutte le volte che vengono rappresentate immagini che richiamano la loro </w:t>
      </w:r>
      <w:r w:rsidR="002760DE">
        <w:t xml:space="preserve">stessa </w:t>
      </w:r>
      <w:r w:rsidR="00327681">
        <w:t>attività. Spesso anche i supermercati di generi alimentari decorano le vetrine con</w:t>
      </w:r>
      <w:r w:rsidR="002760DE">
        <w:t xml:space="preserve"> marchi </w:t>
      </w:r>
      <w:proofErr w:type="gramStart"/>
      <w:r w:rsidR="002760DE">
        <w:t xml:space="preserve">e </w:t>
      </w:r>
      <w:r w:rsidR="00327681">
        <w:t xml:space="preserve"> immagini</w:t>
      </w:r>
      <w:proofErr w:type="gramEnd"/>
      <w:r w:rsidR="00327681">
        <w:t xml:space="preserve"> dei prodotti venduti, così come magazzini sportivi espongono fotografie di persone che svolgono attività </w:t>
      </w:r>
      <w:r w:rsidR="002760DE">
        <w:t>fisica</w:t>
      </w:r>
      <w:r w:rsidR="00327681">
        <w:t xml:space="preserve"> e lo stesso lo fanno i magazzini di bricolage e di quelli multi licenze, con immagini di persone intente ad eseguire lavori di manutenzione. Gli esempi potrebbero essere infiniti e basta girare per le nostre strade e accorgersi di quanto questa modalità di diffondere messaggi pubblicitari sia diffusa. </w:t>
      </w:r>
    </w:p>
    <w:p w14:paraId="74D99177" w14:textId="59AE8A00" w:rsidR="00966682" w:rsidRDefault="00966682" w:rsidP="00CE34BE">
      <w:pPr>
        <w:jc w:val="both"/>
      </w:pPr>
      <w:r>
        <w:t xml:space="preserve">QUADRO NORMATIVO </w:t>
      </w:r>
    </w:p>
    <w:p w14:paraId="5AC9A44F" w14:textId="1B5A5E1F" w:rsidR="00CE34BE" w:rsidRDefault="00CE34BE" w:rsidP="00CE34BE">
      <w:pPr>
        <w:jc w:val="both"/>
      </w:pPr>
      <w:r>
        <w:t xml:space="preserve">La lettera Q del comma 833 dell’articolo 1 della Legge 160/2019 prevede: </w:t>
      </w:r>
      <w:r w:rsidRPr="00CE34BE">
        <w:rPr>
          <w:i/>
          <w:iCs/>
        </w:rPr>
        <w:t xml:space="preserve">“q) i mezzi pubblicitari inerenti all’attività commerciale o di produzione di beni o servizi ove si effettua l’attività stessa, nonché i mezzi pubblicitari, ad eccezione delle insegne, esposti nelle vetrine e sulle porte d’ingresso dei locali medesimi purché </w:t>
      </w:r>
      <w:bookmarkStart w:id="0" w:name="_Hlk134894180"/>
      <w:r w:rsidRPr="00CE34BE">
        <w:rPr>
          <w:i/>
          <w:iCs/>
        </w:rPr>
        <w:t>attinenti all’attività in essi esercitata che non superino la superficie di mezzo metro quadrato per ciascuna vetrina o ingresso;</w:t>
      </w:r>
      <w:bookmarkEnd w:id="0"/>
      <w:r w:rsidRPr="00CE34BE">
        <w:rPr>
          <w:i/>
          <w:iCs/>
        </w:rPr>
        <w:t>”</w:t>
      </w:r>
    </w:p>
    <w:p w14:paraId="0EF7896B" w14:textId="20670E1F" w:rsidR="00E73FAE" w:rsidRDefault="00642B9C" w:rsidP="00047C1B">
      <w:pPr>
        <w:jc w:val="both"/>
        <w:rPr>
          <w:i/>
          <w:iCs/>
        </w:rPr>
      </w:pPr>
      <w:r>
        <w:lastRenderedPageBreak/>
        <w:t>Con la lettera</w:t>
      </w:r>
      <w:r w:rsidR="00047C1B">
        <w:t xml:space="preserve"> Q viene ripresa l’esenzione già prevista dall’articolo 17 del </w:t>
      </w:r>
      <w:proofErr w:type="spellStart"/>
      <w:r w:rsidR="00047C1B">
        <w:t>D.Lgs</w:t>
      </w:r>
      <w:proofErr w:type="spellEnd"/>
      <w:r w:rsidR="00047C1B">
        <w:t xml:space="preserve"> 507/93, che in materia di Imposta sulla pubblicità prevedeva alla lettera A: “</w:t>
      </w:r>
      <w:r w:rsidR="00047C1B" w:rsidRPr="00047C1B">
        <w:rPr>
          <w:i/>
          <w:iCs/>
        </w:rPr>
        <w:t xml:space="preserve">a) la </w:t>
      </w:r>
      <w:r w:rsidR="00966682" w:rsidRPr="00047C1B">
        <w:rPr>
          <w:i/>
          <w:iCs/>
        </w:rPr>
        <w:t>pubblicità</w:t>
      </w:r>
      <w:r w:rsidR="00047C1B" w:rsidRPr="00047C1B">
        <w:rPr>
          <w:i/>
          <w:iCs/>
        </w:rPr>
        <w:t xml:space="preserve"> realizzata all'interno dei locali adibiti alla vendita</w:t>
      </w:r>
      <w:r w:rsidR="00047C1B">
        <w:rPr>
          <w:i/>
          <w:iCs/>
        </w:rPr>
        <w:t xml:space="preserve"> </w:t>
      </w:r>
      <w:r w:rsidR="00047C1B" w:rsidRPr="00047C1B">
        <w:rPr>
          <w:i/>
          <w:iCs/>
        </w:rPr>
        <w:t xml:space="preserve">di beni o alla prestazione di servizi quando si riferisca </w:t>
      </w:r>
      <w:r w:rsidR="00966682" w:rsidRPr="00047C1B">
        <w:rPr>
          <w:i/>
          <w:iCs/>
        </w:rPr>
        <w:t>all’attività</w:t>
      </w:r>
      <w:r w:rsidR="00047C1B">
        <w:rPr>
          <w:i/>
          <w:iCs/>
        </w:rPr>
        <w:t xml:space="preserve"> </w:t>
      </w:r>
      <w:r w:rsidR="00047C1B" w:rsidRPr="00047C1B">
        <w:rPr>
          <w:i/>
          <w:iCs/>
        </w:rPr>
        <w:t xml:space="preserve">negli stessi esercitata, </w:t>
      </w:r>
      <w:r w:rsidR="00966682" w:rsidRPr="00047C1B">
        <w:rPr>
          <w:i/>
          <w:iCs/>
        </w:rPr>
        <w:t>nonché</w:t>
      </w:r>
      <w:r w:rsidR="00047C1B" w:rsidRPr="00047C1B">
        <w:rPr>
          <w:i/>
          <w:iCs/>
        </w:rPr>
        <w:t>' i mezzi pubblicitari, ad eccezione delle</w:t>
      </w:r>
      <w:r w:rsidR="00047C1B">
        <w:rPr>
          <w:i/>
          <w:iCs/>
        </w:rPr>
        <w:t xml:space="preserve"> </w:t>
      </w:r>
      <w:r w:rsidR="00047C1B" w:rsidRPr="00047C1B">
        <w:rPr>
          <w:i/>
          <w:iCs/>
        </w:rPr>
        <w:t>insegne, esposti nelle vetrine e sulle porte di ingresso dei locali medesimi</w:t>
      </w:r>
      <w:r w:rsidR="00047C1B">
        <w:rPr>
          <w:i/>
          <w:iCs/>
        </w:rPr>
        <w:t xml:space="preserve"> </w:t>
      </w:r>
      <w:r w:rsidR="00966682" w:rsidRPr="00047C1B">
        <w:rPr>
          <w:i/>
          <w:iCs/>
        </w:rPr>
        <w:t>purché</w:t>
      </w:r>
      <w:r w:rsidR="00047C1B" w:rsidRPr="00047C1B">
        <w:rPr>
          <w:i/>
          <w:iCs/>
        </w:rPr>
        <w:t xml:space="preserve">' siano attinenti </w:t>
      </w:r>
      <w:r w:rsidR="00966682" w:rsidRPr="00047C1B">
        <w:rPr>
          <w:i/>
          <w:iCs/>
        </w:rPr>
        <w:t>all’attività</w:t>
      </w:r>
      <w:r w:rsidR="00047C1B" w:rsidRPr="00047C1B">
        <w:rPr>
          <w:i/>
          <w:iCs/>
        </w:rPr>
        <w:t xml:space="preserve"> in essi esercitata e non superino, nel</w:t>
      </w:r>
      <w:r w:rsidR="00047C1B">
        <w:rPr>
          <w:i/>
          <w:iCs/>
        </w:rPr>
        <w:t xml:space="preserve"> </w:t>
      </w:r>
      <w:r w:rsidR="00047C1B" w:rsidRPr="00047C1B">
        <w:rPr>
          <w:i/>
          <w:iCs/>
        </w:rPr>
        <w:t>loro insieme, la superficie complessiva di mezzo metro quadrato per</w:t>
      </w:r>
      <w:r w:rsidR="00047C1B">
        <w:rPr>
          <w:i/>
          <w:iCs/>
        </w:rPr>
        <w:t xml:space="preserve"> </w:t>
      </w:r>
      <w:r w:rsidR="00047C1B" w:rsidRPr="00047C1B">
        <w:rPr>
          <w:i/>
          <w:iCs/>
        </w:rPr>
        <w:t>ciascuna vetrina o ingresso;”</w:t>
      </w:r>
    </w:p>
    <w:p w14:paraId="4D9C5F11" w14:textId="79C3C58D" w:rsidR="00047C1B" w:rsidRDefault="00047C1B" w:rsidP="00047C1B">
      <w:pPr>
        <w:jc w:val="both"/>
      </w:pPr>
      <w:r>
        <w:t xml:space="preserve">Due disposizioni praticamente identiche che danno </w:t>
      </w:r>
      <w:r w:rsidR="00966682">
        <w:t xml:space="preserve">certamente </w:t>
      </w:r>
      <w:r>
        <w:t>continuità di trattamento a questa particolare fattispecie pubblicitaria, tanto diffusa quanto sfuggente ai ruoli comunali.</w:t>
      </w:r>
    </w:p>
    <w:p w14:paraId="5EDAEC19" w14:textId="510AE6F1" w:rsidR="00F46795" w:rsidRDefault="00F46795" w:rsidP="00047C1B">
      <w:pPr>
        <w:jc w:val="both"/>
      </w:pPr>
      <w:r>
        <w:t xml:space="preserve">AUTORIZZAZIONE ALL’ESPOSIZIONE </w:t>
      </w:r>
    </w:p>
    <w:p w14:paraId="1A2C8EDC" w14:textId="2804DFE2" w:rsidR="00047C1B" w:rsidRDefault="00047C1B" w:rsidP="00047C1B">
      <w:pPr>
        <w:jc w:val="both"/>
      </w:pPr>
      <w:r>
        <w:t xml:space="preserve">Per una analisi della fattispecie, prima di capire come procedere alla individuazione, misurazione e valutazione sull’assoggettabilità, è bene capire se la fattispecie </w:t>
      </w:r>
      <w:r w:rsidR="00A55414">
        <w:t xml:space="preserve">in parola </w:t>
      </w:r>
      <w:r>
        <w:t>rientra</w:t>
      </w:r>
      <w:r w:rsidR="00000F28">
        <w:t>, oltre che nel presupposto CUP, anche</w:t>
      </w:r>
      <w:r>
        <w:t xml:space="preserve"> nell’obbligo amministrativo di richiesta e rilascio dell’autorizzazione ex articolo 23 del Codice della Strada.</w:t>
      </w:r>
    </w:p>
    <w:p w14:paraId="71152E51" w14:textId="6EBE4D5E" w:rsidR="00000F28" w:rsidRDefault="00000F28" w:rsidP="00047C1B">
      <w:pPr>
        <w:jc w:val="both"/>
        <w:rPr>
          <w:i/>
          <w:iCs/>
        </w:rPr>
      </w:pPr>
      <w:r>
        <w:t xml:space="preserve">L’articolo 23 al comma 1 prevede: </w:t>
      </w:r>
      <w:r w:rsidRPr="00000F28">
        <w:rPr>
          <w:i/>
          <w:iCs/>
        </w:rPr>
        <w:t xml:space="preserve">“1. Lungo le strade o in vista di esse </w:t>
      </w:r>
      <w:r w:rsidR="00256D7B" w:rsidRPr="00000F28">
        <w:rPr>
          <w:i/>
          <w:iCs/>
        </w:rPr>
        <w:t>è</w:t>
      </w:r>
      <w:r w:rsidRPr="00000F28">
        <w:rPr>
          <w:i/>
          <w:iCs/>
        </w:rPr>
        <w:t xml:space="preserve"> vietato collocare insegne, cartelli, manifesti, impianti di pubblicità o propaganda, segni orizzontali reclamistici, sorgenti luminose, visibili dai veicoli transitanti sulle strade, che per dimensioni, forma, colori, disegno e ubicazione possono ingenerare confusione con la segnaletica stradale, ovvero possono renderne difficile la comprensione o ridurne la </w:t>
      </w:r>
      <w:r w:rsidR="00256D7B" w:rsidRPr="00000F28">
        <w:rPr>
          <w:i/>
          <w:iCs/>
        </w:rPr>
        <w:t>visibilità</w:t>
      </w:r>
      <w:r w:rsidRPr="00000F28">
        <w:rPr>
          <w:i/>
          <w:iCs/>
        </w:rPr>
        <w:t xml:space="preserve"> o l'efficacia, ovvero arrecare disturbo visivo agli utenti della strada o distrarne l'attenzione con conseguente pericolo per la sicurezza della circolazione; in ogni caso, detti impianti non devono costituire ostacolo o, comunque, impedimento alla circolazione delle persone invalide. Sono, </w:t>
      </w:r>
      <w:r w:rsidR="00256D7B" w:rsidRPr="00000F28">
        <w:rPr>
          <w:i/>
          <w:iCs/>
        </w:rPr>
        <w:t>altresì</w:t>
      </w:r>
      <w:r w:rsidRPr="00000F28">
        <w:rPr>
          <w:i/>
          <w:iCs/>
        </w:rPr>
        <w:t xml:space="preserve">, vietati i cartelli e gli altri mezzi pubblicitari rifrangenti, </w:t>
      </w:r>
      <w:r w:rsidR="00256D7B" w:rsidRPr="00000F28">
        <w:rPr>
          <w:i/>
          <w:iCs/>
        </w:rPr>
        <w:t>nonché</w:t>
      </w:r>
      <w:r w:rsidRPr="00000F28">
        <w:rPr>
          <w:i/>
          <w:iCs/>
        </w:rPr>
        <w:t xml:space="preserve">' le sorgenti e le </w:t>
      </w:r>
      <w:r w:rsidR="00256D7B" w:rsidRPr="00000F28">
        <w:rPr>
          <w:i/>
          <w:iCs/>
        </w:rPr>
        <w:t>pubblicità</w:t>
      </w:r>
      <w:r w:rsidRPr="00000F28">
        <w:rPr>
          <w:i/>
          <w:iCs/>
        </w:rPr>
        <w:t xml:space="preserve"> luminose che possono produrre abbagliamento. Sulle isole di traffico delle intersezioni canalizzate </w:t>
      </w:r>
      <w:proofErr w:type="spellStart"/>
      <w:proofErr w:type="gramStart"/>
      <w:r w:rsidRPr="00000F28">
        <w:rPr>
          <w:i/>
          <w:iCs/>
        </w:rPr>
        <w:t>e'</w:t>
      </w:r>
      <w:proofErr w:type="spellEnd"/>
      <w:proofErr w:type="gramEnd"/>
      <w:r w:rsidRPr="00000F28">
        <w:rPr>
          <w:i/>
          <w:iCs/>
        </w:rPr>
        <w:t xml:space="preserve"> vietata la posa di qualunque installazione diversa dalla prescritta segnaletica.”</w:t>
      </w:r>
    </w:p>
    <w:p w14:paraId="2EDCBB8D" w14:textId="3AD91B49" w:rsidR="00000F28" w:rsidRDefault="00000F28" w:rsidP="00047C1B">
      <w:pPr>
        <w:jc w:val="both"/>
        <w:rPr>
          <w:i/>
          <w:iCs/>
        </w:rPr>
      </w:pPr>
      <w:r>
        <w:t xml:space="preserve">Il successivo comma 4 prevede: </w:t>
      </w:r>
      <w:r w:rsidRPr="00000F28">
        <w:rPr>
          <w:i/>
          <w:iCs/>
        </w:rPr>
        <w:t xml:space="preserve">“4. La collocazione di cartelli e di altri mezzi pubblicitari lungo le strade o in vista di esse </w:t>
      </w:r>
      <w:proofErr w:type="spellStart"/>
      <w:proofErr w:type="gramStart"/>
      <w:r w:rsidRPr="00000F28">
        <w:rPr>
          <w:i/>
          <w:iCs/>
        </w:rPr>
        <w:t>e'</w:t>
      </w:r>
      <w:proofErr w:type="spellEnd"/>
      <w:proofErr w:type="gramEnd"/>
      <w:r w:rsidRPr="00000F28">
        <w:rPr>
          <w:i/>
          <w:iCs/>
        </w:rPr>
        <w:t xml:space="preserve"> soggetta in ogni caso ad autorizzazione da parte dell'ente proprietario della strada nel rispetto delle presenti norme. Nell'interno dei centri abitati la competenza </w:t>
      </w:r>
      <w:proofErr w:type="spellStart"/>
      <w:proofErr w:type="gramStart"/>
      <w:r w:rsidRPr="00000F28">
        <w:rPr>
          <w:i/>
          <w:iCs/>
        </w:rPr>
        <w:t>e'</w:t>
      </w:r>
      <w:proofErr w:type="spellEnd"/>
      <w:proofErr w:type="gramEnd"/>
      <w:r w:rsidRPr="00000F28">
        <w:rPr>
          <w:i/>
          <w:iCs/>
        </w:rPr>
        <w:t xml:space="preserve"> dei comuni, salvo il preventivo nulla osta tecnico dell'ente proprietario se la strada </w:t>
      </w:r>
      <w:proofErr w:type="spellStart"/>
      <w:r w:rsidRPr="00000F28">
        <w:rPr>
          <w:i/>
          <w:iCs/>
        </w:rPr>
        <w:t>e'</w:t>
      </w:r>
      <w:proofErr w:type="spellEnd"/>
      <w:r w:rsidRPr="00000F28">
        <w:rPr>
          <w:i/>
          <w:iCs/>
        </w:rPr>
        <w:t xml:space="preserve"> statale, regionale o provinciale.”</w:t>
      </w:r>
    </w:p>
    <w:p w14:paraId="4A9C5CD7" w14:textId="03B5DA9E" w:rsidR="00A55414" w:rsidRDefault="00000F28" w:rsidP="00047C1B">
      <w:pPr>
        <w:jc w:val="both"/>
      </w:pPr>
      <w:r>
        <w:t>Il Legislatore ha quindi previsto il rilascio di specifica autorizzazione da parte de</w:t>
      </w:r>
      <w:r w:rsidR="00256D7B">
        <w:t>i</w:t>
      </w:r>
      <w:r>
        <w:t xml:space="preserve"> Comun</w:t>
      </w:r>
      <w:r w:rsidR="00256D7B">
        <w:t>i</w:t>
      </w:r>
      <w:r>
        <w:t xml:space="preserve"> (all’interno dei centri abitati) </w:t>
      </w:r>
      <w:r w:rsidR="00256D7B">
        <w:t>o</w:t>
      </w:r>
      <w:r>
        <w:t xml:space="preserve"> dell’ente proprietario della strada per le esposizioni che vengono diffuse sulle strade collocate fuori dalla delimitazione dei centri abitati</w:t>
      </w:r>
      <w:r w:rsidR="00256D7B">
        <w:t xml:space="preserve"> (Comuni, Province, Città Metropolitane, Regioni, ANAS)</w:t>
      </w:r>
      <w:r w:rsidR="00A55414">
        <w:t xml:space="preserve"> tutte le volte che si espone un mezzo pubblicitario lungo le strade o in vista di esse.</w:t>
      </w:r>
    </w:p>
    <w:p w14:paraId="4DD62FBF" w14:textId="77777777" w:rsidR="00CF7743" w:rsidRDefault="00C22D6D" w:rsidP="00047C1B">
      <w:pPr>
        <w:jc w:val="both"/>
      </w:pPr>
      <w:r>
        <w:t>È proprio quest</w:t>
      </w:r>
      <w:r w:rsidR="00256D7B">
        <w:t>’ultimo</w:t>
      </w:r>
      <w:r>
        <w:t xml:space="preserve"> elemento che </w:t>
      </w:r>
      <w:r w:rsidR="00256D7B">
        <w:t>diventa dirimente</w:t>
      </w:r>
      <w:r>
        <w:t xml:space="preserve"> per capire quando una diffusione pubblicitaria necessita di una specifica autorizzazione. La pubblicità in vetrina </w:t>
      </w:r>
      <w:r w:rsidR="00A55414">
        <w:t xml:space="preserve">rappresenta </w:t>
      </w:r>
      <w:r w:rsidR="00256D7B">
        <w:t>una di quelle fattispecie dove la risposta non può essere sempre uguale</w:t>
      </w:r>
      <w:r w:rsidR="00A55414">
        <w:t>,</w:t>
      </w:r>
      <w:r w:rsidR="00256D7B">
        <w:t xml:space="preserve"> ed ogni situazione dovrà essere valutata</w:t>
      </w:r>
      <w:r w:rsidR="00A55414">
        <w:t xml:space="preserve"> singolarmente</w:t>
      </w:r>
      <w:r w:rsidR="00256D7B">
        <w:t xml:space="preserve">. Certamente le esposizioni realizzate all’interno dei centri commerciali </w:t>
      </w:r>
      <w:r w:rsidR="00F46795">
        <w:t>non necessitano</w:t>
      </w:r>
      <w:r w:rsidR="00256D7B">
        <w:t xml:space="preserve"> dell’autorizzazione, e </w:t>
      </w:r>
      <w:proofErr w:type="gramStart"/>
      <w:r w:rsidR="00256D7B">
        <w:t>dovr</w:t>
      </w:r>
      <w:r w:rsidR="00A55414">
        <w:t xml:space="preserve">anno </w:t>
      </w:r>
      <w:r w:rsidR="00256D7B">
        <w:t xml:space="preserve"> così</w:t>
      </w:r>
      <w:proofErr w:type="gramEnd"/>
      <w:r w:rsidR="00256D7B">
        <w:t xml:space="preserve"> essere dichiarat</w:t>
      </w:r>
      <w:r w:rsidR="00A55414">
        <w:t>e come esposizioni pubblicitarie</w:t>
      </w:r>
      <w:r w:rsidR="00256D7B">
        <w:t xml:space="preserve"> ai sensi del Regolamento</w:t>
      </w:r>
      <w:r w:rsidR="00A55414">
        <w:t xml:space="preserve"> Comunale</w:t>
      </w:r>
      <w:r w:rsidR="00256D7B">
        <w:t xml:space="preserve"> CUP</w:t>
      </w:r>
      <w:r w:rsidR="00A55414">
        <w:t>, con conseguente</w:t>
      </w:r>
      <w:r w:rsidR="00256D7B">
        <w:t xml:space="preserve"> versa</w:t>
      </w:r>
      <w:r w:rsidR="00A55414">
        <w:t xml:space="preserve">mento del </w:t>
      </w:r>
      <w:r w:rsidR="00256D7B">
        <w:t xml:space="preserve">relativo canone </w:t>
      </w:r>
      <w:r w:rsidR="00A55414">
        <w:t xml:space="preserve">a favore del </w:t>
      </w:r>
      <w:r w:rsidR="00256D7B">
        <w:t>Comune</w:t>
      </w:r>
      <w:r w:rsidR="00CF7743">
        <w:t xml:space="preserve">, e solo ad esso, </w:t>
      </w:r>
      <w:r w:rsidR="00256D7B">
        <w:t xml:space="preserve"> dove l’esercizio è ubicato. </w:t>
      </w:r>
    </w:p>
    <w:p w14:paraId="45897943" w14:textId="19423260" w:rsidR="00C22D6D" w:rsidRDefault="00256D7B" w:rsidP="00047C1B">
      <w:pPr>
        <w:jc w:val="both"/>
      </w:pPr>
      <w:r>
        <w:t xml:space="preserve">Per le pubblicità realizzate </w:t>
      </w:r>
      <w:r w:rsidR="00F46795">
        <w:t xml:space="preserve">sulle vetrine che </w:t>
      </w:r>
      <w:r w:rsidR="00CF7743">
        <w:t>si trovano invece</w:t>
      </w:r>
      <w:r w:rsidR="00F46795">
        <w:t xml:space="preserve"> in adiacenza alle strade e visibili da esse, si dovrà in linea generale ipotizzare di dover richiedere una specifica autorizzazione. Certo in molti casi, le attività si limitano ad esporre dei cartelli di piccole dimensioni, senza luminosità o colori particolarmente accesi; posti all’interno dei locali e visibili si dall’esterno ma a favore di un flusso pedonale che transita sul marciapiede o </w:t>
      </w:r>
      <w:r w:rsidR="00CF7743">
        <w:t>comunque nelle immediate vicinanze</w:t>
      </w:r>
      <w:r w:rsidR="00F46795">
        <w:t xml:space="preserve">. In molti di questi casi, il pericolo che queste pubblicità possa in qualche modo interferire con la sicurezza stradale è davvero inesistente. Per questo si ritiene che la valutazione debba essere demandata alle singole situazioni, </w:t>
      </w:r>
      <w:r w:rsidR="002D1050">
        <w:t>ipotizzando</w:t>
      </w:r>
      <w:r w:rsidR="00F46795">
        <w:t xml:space="preserve"> tuttavia che di norma </w:t>
      </w:r>
      <w:r w:rsidR="002D1050">
        <w:t xml:space="preserve">si possa ritenere non necessaria </w:t>
      </w:r>
      <w:r w:rsidR="002D1050">
        <w:lastRenderedPageBreak/>
        <w:t>la domanda di autorizzazione</w:t>
      </w:r>
      <w:r w:rsidR="002D1050">
        <w:t xml:space="preserve">, </w:t>
      </w:r>
      <w:r w:rsidR="00F46795">
        <w:t xml:space="preserve">salvo </w:t>
      </w:r>
      <w:r w:rsidR="002D1050">
        <w:t>ovviamente</w:t>
      </w:r>
      <w:r w:rsidR="00F46795">
        <w:t xml:space="preserve"> eccezioni dettate da posizioni particolarmente visibili dalla carreggiata stradale o da immagini </w:t>
      </w:r>
      <w:r w:rsidR="002D1050">
        <w:t>di così grandi dimensioni da</w:t>
      </w:r>
      <w:r w:rsidR="00F46795">
        <w:t xml:space="preserve"> influire sulla circolazione stradale</w:t>
      </w:r>
      <w:r w:rsidR="002D1050">
        <w:t>.</w:t>
      </w:r>
      <w:r w:rsidR="00F46795">
        <w:t xml:space="preserve"> </w:t>
      </w:r>
    </w:p>
    <w:p w14:paraId="38D16D5B" w14:textId="6BEB1B85" w:rsidR="00F46795" w:rsidRDefault="00F46795" w:rsidP="00047C1B">
      <w:pPr>
        <w:jc w:val="both"/>
      </w:pPr>
      <w:r>
        <w:t>In questo senso devono aver ragionato molti esercenti commerciali che nel corso degli anni richiedono le autorizzazioni per le proprie insegne ma difficilmente chiedono di poter esporre la pubblicità in vetrina.</w:t>
      </w:r>
    </w:p>
    <w:p w14:paraId="642E0BE3" w14:textId="3573E2FB" w:rsidR="00262ADB" w:rsidRDefault="00F46795" w:rsidP="00047C1B">
      <w:pPr>
        <w:jc w:val="both"/>
      </w:pPr>
      <w:r>
        <w:t xml:space="preserve">Questo </w:t>
      </w:r>
      <w:r w:rsidR="002D1050">
        <w:t xml:space="preserve">idea diffusa di poter esporre pubblicità all’interno dei locali seppur visibile dall’esterno, senza richiedere </w:t>
      </w:r>
      <w:r w:rsidR="00B00B15">
        <w:t>l’autorizzazione, incide</w:t>
      </w:r>
      <w:r>
        <w:t xml:space="preserve"> al lato pratico sulla natura sfuggente della fattispecie, che, spesso</w:t>
      </w:r>
      <w:r w:rsidR="002D1050">
        <w:t xml:space="preserve">, non solo non viene </w:t>
      </w:r>
      <w:r w:rsidR="00B00B15">
        <w:t>autorizzata, ma</w:t>
      </w:r>
      <w:r>
        <w:t xml:space="preserve"> neppure </w:t>
      </w:r>
      <w:r w:rsidR="002D1050">
        <w:t xml:space="preserve">viene </w:t>
      </w:r>
      <w:r>
        <w:t xml:space="preserve">dichiarata ai fini della corretta applicazione del Canone. </w:t>
      </w:r>
      <w:r w:rsidR="002D1050">
        <w:t>In diversi contesti c’è</w:t>
      </w:r>
      <w:r w:rsidR="00B00B15">
        <w:t xml:space="preserve"> addirittura </w:t>
      </w:r>
      <w:r w:rsidR="002D1050">
        <w:t xml:space="preserve">la credenza che basti esporre i cartelli staccati fisicamente </w:t>
      </w:r>
      <w:r w:rsidR="00B00B15">
        <w:t xml:space="preserve">anche di pochi centimetri </w:t>
      </w:r>
      <w:r w:rsidR="002D1050">
        <w:t>dal vetro per non considerarli soggetti al pagamento.</w:t>
      </w:r>
    </w:p>
    <w:p w14:paraId="4BDD050F" w14:textId="61F2A352" w:rsidR="00262ADB" w:rsidRDefault="00262ADB" w:rsidP="00047C1B">
      <w:pPr>
        <w:jc w:val="both"/>
      </w:pPr>
      <w:r>
        <w:t>L’ATTIVITA’ DI RILEVAZIONE</w:t>
      </w:r>
    </w:p>
    <w:p w14:paraId="45E0A40F" w14:textId="77777777" w:rsidR="000D0340" w:rsidRDefault="00F46795" w:rsidP="00047C1B">
      <w:pPr>
        <w:jc w:val="both"/>
      </w:pPr>
      <w:r>
        <w:t>Con l’odierno approfondimento si vuole quindi richiamare l’attenzione degli uffici comunali preposti</w:t>
      </w:r>
      <w:r w:rsidR="00B178F7">
        <w:t>,</w:t>
      </w:r>
      <w:r>
        <w:t xml:space="preserve"> a </w:t>
      </w:r>
      <w:r w:rsidR="00B178F7">
        <w:t xml:space="preserve">prestare la loro </w:t>
      </w:r>
      <w:r>
        <w:t>attenzione a questa fattispecie</w:t>
      </w:r>
      <w:r w:rsidR="00B178F7">
        <w:t>,</w:t>
      </w:r>
      <w:r>
        <w:t xml:space="preserve"> che sicuramente è presente in ogni realtà comunale, </w:t>
      </w:r>
      <w:r w:rsidR="00B178F7">
        <w:t>e</w:t>
      </w:r>
      <w:r>
        <w:t xml:space="preserve"> che senza una specifica attività di rilevazione, </w:t>
      </w:r>
      <w:r w:rsidR="00B178F7">
        <w:t>difficilmente</w:t>
      </w:r>
      <w:r>
        <w:t xml:space="preserve"> trov</w:t>
      </w:r>
      <w:r w:rsidR="00B178F7">
        <w:t>erà</w:t>
      </w:r>
      <w:r>
        <w:t xml:space="preserve"> spazio nei ruoli del CUP</w:t>
      </w:r>
      <w:r w:rsidR="00B178F7">
        <w:t>.</w:t>
      </w:r>
      <w:r w:rsidR="00262ADB">
        <w:t xml:space="preserve"> </w:t>
      </w:r>
    </w:p>
    <w:p w14:paraId="4F62FF46" w14:textId="312B71B3" w:rsidR="00F46795" w:rsidRDefault="000D0340" w:rsidP="00047C1B">
      <w:pPr>
        <w:jc w:val="both"/>
      </w:pPr>
      <w:r>
        <w:t>Considerato</w:t>
      </w:r>
      <w:r w:rsidR="00262ADB">
        <w:t xml:space="preserve"> che ai fini della circolazione stradale non sarà mai un elemento di interesse diretto </w:t>
      </w:r>
      <w:r>
        <w:t xml:space="preserve">da parte </w:t>
      </w:r>
      <w:r w:rsidR="00262ADB">
        <w:t xml:space="preserve">della </w:t>
      </w:r>
      <w:r>
        <w:t>P</w:t>
      </w:r>
      <w:r w:rsidR="00262ADB">
        <w:t xml:space="preserve">olizia Locale, è necessaria l’iniziativa </w:t>
      </w:r>
      <w:r w:rsidR="00B00B15">
        <w:t xml:space="preserve">propositiva </w:t>
      </w:r>
      <w:r w:rsidR="00262ADB">
        <w:t xml:space="preserve">dell’ufficio </w:t>
      </w:r>
      <w:r>
        <w:t>E</w:t>
      </w:r>
      <w:r w:rsidR="00262ADB">
        <w:t>ntrate</w:t>
      </w:r>
      <w:r>
        <w:t xml:space="preserve"> del Comune</w:t>
      </w:r>
      <w:r w:rsidR="00B00B15">
        <w:t>,</w:t>
      </w:r>
      <w:r w:rsidR="00262ADB">
        <w:t xml:space="preserve"> per organizzare una rilevazione sul territorio </w:t>
      </w:r>
      <w:r>
        <w:t xml:space="preserve">utile alla </w:t>
      </w:r>
      <w:r w:rsidR="00262ADB">
        <w:t xml:space="preserve">loro identificazione e valutazione ai fini del corretto calcolo del Canone Unico. Questa attività potrà essere espletata dagli stessi agenti di PM, ma anche e soprattutto dagli Agenti Accertatori nominati dal Comune ai sensi del comma 179 della Legge 296/2006 per lo svolgimento dell’attività di rilevazione con </w:t>
      </w:r>
      <w:r>
        <w:t xml:space="preserve">conseguente </w:t>
      </w:r>
      <w:r w:rsidR="00262ADB">
        <w:t>verbalizzazione ai fini delle entrate gestite dal proprio ente.</w:t>
      </w:r>
    </w:p>
    <w:p w14:paraId="358E430B" w14:textId="54DFD774" w:rsidR="00C35930" w:rsidRDefault="00C35930" w:rsidP="00047C1B">
      <w:pPr>
        <w:jc w:val="both"/>
      </w:pPr>
      <w:r>
        <w:t>DIFFICOLTA’ DI VALUTAZIONE E CRITERI DI MISURAZIONE</w:t>
      </w:r>
    </w:p>
    <w:p w14:paraId="3F7937B8" w14:textId="0B87916F" w:rsidR="00C35930" w:rsidRDefault="00C35930" w:rsidP="00047C1B">
      <w:pPr>
        <w:jc w:val="both"/>
        <w:rPr>
          <w:i/>
          <w:iCs/>
        </w:rPr>
      </w:pPr>
      <w:r>
        <w:t xml:space="preserve">Nell’andare a identificare la diffusione di un messaggio pubblicitario realizzato sulla vetrina di un’attività, si dovrà innanzi tutto capire l’effettiva volontà di realizzare un’iniziativa pubblicitaria. </w:t>
      </w:r>
      <w:r w:rsidR="007B2113" w:rsidRPr="007B2113">
        <w:t>Rientrano nel presupposto pubblicitario tutte le forme di comunicazione aventi ad oggetto idee, beni o servizi, attuata attraverso specifici supporti al fine di orientare l’interesse del pubblico verso un prodotto, una persona, o una organizzazione pubblica o privata</w:t>
      </w:r>
      <w:r w:rsidR="007B2113">
        <w:t>.  Così come prevedeva</w:t>
      </w:r>
      <w:r w:rsidR="00B00B15">
        <w:t xml:space="preserve"> già</w:t>
      </w:r>
      <w:r w:rsidR="007B2113">
        <w:t xml:space="preserve"> la Direttiva Comunitaria CEE n. </w:t>
      </w:r>
      <w:r w:rsidR="007B2113" w:rsidRPr="007B2113">
        <w:t xml:space="preserve">84/450 </w:t>
      </w:r>
      <w:r w:rsidR="007B2113">
        <w:t>del</w:t>
      </w:r>
      <w:r w:rsidR="007B2113" w:rsidRPr="007B2113">
        <w:t xml:space="preserve"> 1984</w:t>
      </w:r>
      <w:r w:rsidR="007B2113">
        <w:t xml:space="preserve"> che considerava iniziativa pubblicitaria “</w:t>
      </w:r>
      <w:r w:rsidR="007B2113" w:rsidRPr="007B2113">
        <w:rPr>
          <w:i/>
          <w:iCs/>
        </w:rPr>
        <w:t>qualsiasi forma di messaggio che sia diffuso, in qualsiasi modo, nell’esercizio di un’attività commerciale, industriale, artigianale o professionale allo scopo di promuovere la vendita di beni mobili o immobili</w:t>
      </w:r>
      <w:r w:rsidR="007B2113">
        <w:rPr>
          <w:i/>
          <w:iCs/>
        </w:rPr>
        <w:t xml:space="preserve">”. </w:t>
      </w:r>
    </w:p>
    <w:p w14:paraId="232E364E" w14:textId="0FE4E9CE" w:rsidR="007B2113" w:rsidRDefault="007B2113" w:rsidP="00047C1B">
      <w:pPr>
        <w:jc w:val="both"/>
      </w:pPr>
      <w:r w:rsidRPr="007B2113">
        <w:t xml:space="preserve">Nella valutazione </w:t>
      </w:r>
      <w:r w:rsidR="00B00B15">
        <w:t>d</w:t>
      </w:r>
      <w:r w:rsidRPr="007B2113">
        <w:t xml:space="preserve">eve individuarsi </w:t>
      </w:r>
      <w:r w:rsidR="00B00B15">
        <w:t xml:space="preserve">pertanto </w:t>
      </w:r>
      <w:r w:rsidRPr="007B2113">
        <w:t xml:space="preserve">la oggettiva volontà di diffondere un messaggio pubblicitario, viceversa si rischierebbe di applicare </w:t>
      </w:r>
      <w:r w:rsidR="00B00B15">
        <w:t>il canone</w:t>
      </w:r>
      <w:r w:rsidRPr="007B2113">
        <w:t xml:space="preserve"> su qualunque iniziativa atta a valorizzare l’attività commerciale; perdendo di vista questa logica ad esempio rischieremmo di trovarci </w:t>
      </w:r>
      <w:r w:rsidR="00B00B15" w:rsidRPr="007B2113">
        <w:t>a chiedere</w:t>
      </w:r>
      <w:r w:rsidRPr="007B2113">
        <w:t xml:space="preserve"> se anche l’esposizione </w:t>
      </w:r>
      <w:proofErr w:type="gramStart"/>
      <w:r w:rsidRPr="007B2113">
        <w:t>di  un</w:t>
      </w:r>
      <w:proofErr w:type="gramEnd"/>
      <w:r w:rsidRPr="007B2113">
        <w:t xml:space="preserve"> lampadario appariscente costituisca un richiamo pubblicitario finalizzato alla promozione della propria attività commerciale e quindi soggetto all’imposta.</w:t>
      </w:r>
    </w:p>
    <w:p w14:paraId="71CEB2A0" w14:textId="24E3F1AA" w:rsidR="007B2113" w:rsidRDefault="00171636" w:rsidP="00047C1B">
      <w:pPr>
        <w:jc w:val="both"/>
      </w:pPr>
      <w:r w:rsidRPr="00171636">
        <w:t>la giurisprudenza di legittimità, a più riprese ha affermato che soggetto all’imposta sia qualsiasi mezzo di comunicazione con il pubblico, il quale risulti, indipendentemente dalla ragione e finalità della sua adozione, oggettivamente idoneo a far conoscere indiscriminatamente alla massa indeterminata di possibili acquirenti ed utenti il nome o il prodotto dell’azienda (cfr. Cassazione n. 8220 del 22.07.1993)</w:t>
      </w:r>
      <w:r>
        <w:t>.</w:t>
      </w:r>
    </w:p>
    <w:p w14:paraId="34FF9982" w14:textId="5D3ADD35" w:rsidR="00171636" w:rsidRDefault="00171636" w:rsidP="00047C1B">
      <w:pPr>
        <w:jc w:val="both"/>
      </w:pPr>
      <w:proofErr w:type="gramStart"/>
      <w:r>
        <w:t>E’</w:t>
      </w:r>
      <w:proofErr w:type="gramEnd"/>
      <w:r>
        <w:t xml:space="preserve"> chiaro quindi che la valutazione sulla specifica esposizione in vetrina di messaggi pubblicitari debba partire da questi principi rivolti ad interpretare le diverse, infinite, modalità di fare pubblicità.</w:t>
      </w:r>
    </w:p>
    <w:p w14:paraId="5032AD2B" w14:textId="3DD7A381" w:rsidR="004E1F7A" w:rsidRDefault="00171636" w:rsidP="00047C1B">
      <w:pPr>
        <w:jc w:val="both"/>
      </w:pPr>
      <w:r>
        <w:t>Una volta valutata l’attrazione nel presupposto della pubblicità in vetrina, dovremo andare a definirne le superfici.  Qui subentrano nuove valutazioni tenendo conto che spesso la pubblicità in</w:t>
      </w:r>
      <w:r w:rsidR="00774EF6">
        <w:t xml:space="preserve"> </w:t>
      </w:r>
      <w:r>
        <w:t xml:space="preserve">vetrina non è realizzata con un </w:t>
      </w:r>
      <w:r w:rsidR="00774EF6">
        <w:t>“impianto</w:t>
      </w:r>
      <w:r>
        <w:t xml:space="preserve"> pubblicitario</w:t>
      </w:r>
      <w:r w:rsidR="00774EF6">
        <w:t>”</w:t>
      </w:r>
      <w:r>
        <w:t xml:space="preserve">, che sarebbe soggetto al pagamento del canone indipendentemente dal numero di messaggi in esso contenuti, ma bensì, trattandosi di un elemento, la vetrina, che non ha </w:t>
      </w:r>
      <w:r>
        <w:lastRenderedPageBreak/>
        <w:t xml:space="preserve">caratteristiche intrinseche di mezzo pubblicitario, dovremo adottare il principio </w:t>
      </w:r>
      <w:r w:rsidR="00774EF6">
        <w:t>di calcolo in base a</w:t>
      </w:r>
      <w:r>
        <w:t xml:space="preserve">lla minima figura geometrica piana che racchiude il messaggio </w:t>
      </w:r>
      <w:r w:rsidR="00774EF6">
        <w:t>pubblicitario stesso</w:t>
      </w:r>
      <w:r>
        <w:t>.</w:t>
      </w:r>
      <w:r w:rsidR="00774EF6">
        <w:t xml:space="preserve"> In </w:t>
      </w:r>
      <w:r w:rsidR="005D2F88">
        <w:t>molti casi le vetrine presentano più messaggi, disposti in aree diverse non collegate</w:t>
      </w:r>
      <w:r w:rsidR="00B00B15">
        <w:t xml:space="preserve"> tra loro</w:t>
      </w:r>
      <w:r w:rsidR="005D2F88">
        <w:t xml:space="preserve">, così che subentra l’incertezza sul criterio </w:t>
      </w:r>
      <w:r w:rsidR="00B00B15">
        <w:t xml:space="preserve">corretto </w:t>
      </w:r>
      <w:r w:rsidR="005D2F88">
        <w:t xml:space="preserve">da utilizzare per definire la </w:t>
      </w:r>
      <w:r w:rsidR="004E1F7A">
        <w:t>superficie</w:t>
      </w:r>
      <w:r w:rsidR="005D2F88">
        <w:t xml:space="preserve"> rilevante ai fini applicativi</w:t>
      </w:r>
      <w:r w:rsidR="00B00B15">
        <w:t xml:space="preserve"> CUP</w:t>
      </w:r>
      <w:r w:rsidR="004F5C38">
        <w:t>.</w:t>
      </w:r>
      <w:r w:rsidR="005D2F88">
        <w:t xml:space="preserve"> </w:t>
      </w:r>
      <w:r w:rsidR="004F5C38">
        <w:t>C</w:t>
      </w:r>
      <w:r w:rsidR="005D2F88">
        <w:t xml:space="preserve">reare un’unica superficie che racchiuda il tutto, o procedere singolarmente su diversi messaggi non posti in connessione tra loro? Impossibile dare una risposta che trovi applicazione a tutte le situazioni. Troppo variegate le </w:t>
      </w:r>
      <w:r w:rsidR="004E1F7A">
        <w:t xml:space="preserve">possibili soluzioni, infinita la fantasia degli esercenti </w:t>
      </w:r>
      <w:r w:rsidR="004F5C38">
        <w:t>di</w:t>
      </w:r>
      <w:r w:rsidR="004E1F7A">
        <w:t xml:space="preserve"> attività commerciali, così che si dovrà</w:t>
      </w:r>
      <w:r w:rsidR="00B00B15">
        <w:t>,</w:t>
      </w:r>
      <w:r w:rsidR="004E1F7A">
        <w:t xml:space="preserve"> per ogni singola situazione</w:t>
      </w:r>
      <w:r w:rsidR="00B00B15">
        <w:t>,</w:t>
      </w:r>
      <w:r w:rsidR="004E1F7A">
        <w:t xml:space="preserve"> valutare il criterio più corretto per delimitare e quantificare la superficie dedicata alla diffusione pubblicitaria.</w:t>
      </w:r>
      <w:r w:rsidR="004F5C38">
        <w:t xml:space="preserve"> Rappresentazioni grafiche, loghi, marchi di prodotti venduti, immagini, cartelli, scritte… davvero infinite le forme pubblicitarie che rientrano nel presupposto applicativo.</w:t>
      </w:r>
    </w:p>
    <w:p w14:paraId="180E959F" w14:textId="4FA7A7B8" w:rsidR="00171636" w:rsidRDefault="004E1F7A" w:rsidP="00047C1B">
      <w:pPr>
        <w:jc w:val="both"/>
      </w:pPr>
      <w:r>
        <w:t>Una volta definit</w:t>
      </w:r>
      <w:r w:rsidR="004F5C38">
        <w:t>o cosa rientra nel CUP e con quale superficie, si</w:t>
      </w:r>
      <w:r>
        <w:t xml:space="preserve"> dovrà capire se la</w:t>
      </w:r>
      <w:r w:rsidR="004F5C38">
        <w:t xml:space="preserve"> tipologia di pubblicità</w:t>
      </w:r>
      <w:r>
        <w:t xml:space="preserve"> realizzata possa rientrare nell’ipotesi disciplinata dalla lettera Q del comma 833 della Legge 160/2019 che vuole esenti i messaggi esposti in vetrina </w:t>
      </w:r>
      <w:r w:rsidRPr="004E1F7A">
        <w:t xml:space="preserve">attinenti all’attività in essi esercitata </w:t>
      </w:r>
      <w:r>
        <w:t xml:space="preserve">quando </w:t>
      </w:r>
      <w:r w:rsidRPr="004E1F7A">
        <w:t>non superino la superficie di mezzo metro quadrato per ciascuna vetrina o ingresso</w:t>
      </w:r>
      <w:r w:rsidR="004F5C38">
        <w:t xml:space="preserve">. Nel percorso logico di valutazione si dovranno </w:t>
      </w:r>
      <w:r w:rsidR="008B1839">
        <w:t xml:space="preserve">pertanto </w:t>
      </w:r>
      <w:r w:rsidR="004F5C38">
        <w:t xml:space="preserve">analizzare tutti gli elementi descritti </w:t>
      </w:r>
      <w:r w:rsidR="00B00B15">
        <w:t xml:space="preserve">finora </w:t>
      </w:r>
      <w:r w:rsidR="004F5C38">
        <w:t>per arrivare a determinare la superficie fiscale, con applicazione dell’arrotondamento disciplinato nel regolamento di competenza.</w:t>
      </w:r>
    </w:p>
    <w:p w14:paraId="74F9F331" w14:textId="4BBEA5BF" w:rsidR="008B1839" w:rsidRDefault="008B1839" w:rsidP="00047C1B">
      <w:pPr>
        <w:jc w:val="both"/>
      </w:pPr>
      <w:r>
        <w:t>CONCLUSIONE</w:t>
      </w:r>
    </w:p>
    <w:p w14:paraId="7571BB2B" w14:textId="6DDA0ACB" w:rsidR="008B1839" w:rsidRDefault="008B1839" w:rsidP="00047C1B">
      <w:pPr>
        <w:jc w:val="both"/>
      </w:pPr>
      <w:r>
        <w:t>Una corretta gestione della nuova entrata patrimoniale introdotta con il comma 816 della Legge 160/2019 in relazione alla sua componente legata alla diffusione pubblicitaria, non può prescindere dall’analisi delle iniziative reclamistiche adottate dalle attività commerciali e artigianali realizzate sulle vetrine delle proprie attività e destinate a realizzare un’attrazione verso una possibile platea di clienti.</w:t>
      </w:r>
      <w:r w:rsidR="00B00B15">
        <w:t xml:space="preserve"> </w:t>
      </w:r>
    </w:p>
    <w:p w14:paraId="78F8F15C" w14:textId="77777777" w:rsidR="004F5C38" w:rsidRPr="007B2113" w:rsidRDefault="004F5C38" w:rsidP="00047C1B">
      <w:pPr>
        <w:jc w:val="both"/>
      </w:pPr>
    </w:p>
    <w:p w14:paraId="7949BE8A" w14:textId="77777777" w:rsidR="00262ADB" w:rsidRDefault="00262ADB" w:rsidP="00047C1B">
      <w:pPr>
        <w:jc w:val="both"/>
      </w:pPr>
    </w:p>
    <w:p w14:paraId="6330E62E" w14:textId="77777777" w:rsidR="00262ADB" w:rsidRDefault="00262ADB" w:rsidP="00047C1B">
      <w:pPr>
        <w:jc w:val="both"/>
      </w:pPr>
    </w:p>
    <w:p w14:paraId="0CB2B3D1" w14:textId="3EED2B0C" w:rsidR="00047C1B" w:rsidRPr="00047C1B" w:rsidRDefault="00047C1B" w:rsidP="00047C1B">
      <w:pPr>
        <w:jc w:val="both"/>
      </w:pPr>
    </w:p>
    <w:sectPr w:rsidR="00047C1B" w:rsidRPr="00047C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7632EC"/>
    <w:multiLevelType w:val="hybridMultilevel"/>
    <w:tmpl w:val="9C2833E6"/>
    <w:lvl w:ilvl="0" w:tplc="672ED7C0">
      <w:start w:val="1"/>
      <w:numFmt w:val="bullet"/>
      <w:lvlText w:val="•"/>
      <w:lvlJc w:val="left"/>
      <w:pPr>
        <w:tabs>
          <w:tab w:val="num" w:pos="720"/>
        </w:tabs>
        <w:ind w:left="720" w:hanging="360"/>
      </w:pPr>
      <w:rPr>
        <w:rFonts w:ascii="Arial" w:hAnsi="Arial" w:hint="default"/>
      </w:rPr>
    </w:lvl>
    <w:lvl w:ilvl="1" w:tplc="941CA3A8" w:tentative="1">
      <w:start w:val="1"/>
      <w:numFmt w:val="bullet"/>
      <w:lvlText w:val="•"/>
      <w:lvlJc w:val="left"/>
      <w:pPr>
        <w:tabs>
          <w:tab w:val="num" w:pos="1440"/>
        </w:tabs>
        <w:ind w:left="1440" w:hanging="360"/>
      </w:pPr>
      <w:rPr>
        <w:rFonts w:ascii="Arial" w:hAnsi="Arial" w:hint="default"/>
      </w:rPr>
    </w:lvl>
    <w:lvl w:ilvl="2" w:tplc="CD861236" w:tentative="1">
      <w:start w:val="1"/>
      <w:numFmt w:val="bullet"/>
      <w:lvlText w:val="•"/>
      <w:lvlJc w:val="left"/>
      <w:pPr>
        <w:tabs>
          <w:tab w:val="num" w:pos="2160"/>
        </w:tabs>
        <w:ind w:left="2160" w:hanging="360"/>
      </w:pPr>
      <w:rPr>
        <w:rFonts w:ascii="Arial" w:hAnsi="Arial" w:hint="default"/>
      </w:rPr>
    </w:lvl>
    <w:lvl w:ilvl="3" w:tplc="F4949D32" w:tentative="1">
      <w:start w:val="1"/>
      <w:numFmt w:val="bullet"/>
      <w:lvlText w:val="•"/>
      <w:lvlJc w:val="left"/>
      <w:pPr>
        <w:tabs>
          <w:tab w:val="num" w:pos="2880"/>
        </w:tabs>
        <w:ind w:left="2880" w:hanging="360"/>
      </w:pPr>
      <w:rPr>
        <w:rFonts w:ascii="Arial" w:hAnsi="Arial" w:hint="default"/>
      </w:rPr>
    </w:lvl>
    <w:lvl w:ilvl="4" w:tplc="2124CD40" w:tentative="1">
      <w:start w:val="1"/>
      <w:numFmt w:val="bullet"/>
      <w:lvlText w:val="•"/>
      <w:lvlJc w:val="left"/>
      <w:pPr>
        <w:tabs>
          <w:tab w:val="num" w:pos="3600"/>
        </w:tabs>
        <w:ind w:left="3600" w:hanging="360"/>
      </w:pPr>
      <w:rPr>
        <w:rFonts w:ascii="Arial" w:hAnsi="Arial" w:hint="default"/>
      </w:rPr>
    </w:lvl>
    <w:lvl w:ilvl="5" w:tplc="D00A8EF0" w:tentative="1">
      <w:start w:val="1"/>
      <w:numFmt w:val="bullet"/>
      <w:lvlText w:val="•"/>
      <w:lvlJc w:val="left"/>
      <w:pPr>
        <w:tabs>
          <w:tab w:val="num" w:pos="4320"/>
        </w:tabs>
        <w:ind w:left="4320" w:hanging="360"/>
      </w:pPr>
      <w:rPr>
        <w:rFonts w:ascii="Arial" w:hAnsi="Arial" w:hint="default"/>
      </w:rPr>
    </w:lvl>
    <w:lvl w:ilvl="6" w:tplc="25129044" w:tentative="1">
      <w:start w:val="1"/>
      <w:numFmt w:val="bullet"/>
      <w:lvlText w:val="•"/>
      <w:lvlJc w:val="left"/>
      <w:pPr>
        <w:tabs>
          <w:tab w:val="num" w:pos="5040"/>
        </w:tabs>
        <w:ind w:left="5040" w:hanging="360"/>
      </w:pPr>
      <w:rPr>
        <w:rFonts w:ascii="Arial" w:hAnsi="Arial" w:hint="default"/>
      </w:rPr>
    </w:lvl>
    <w:lvl w:ilvl="7" w:tplc="F6362A78" w:tentative="1">
      <w:start w:val="1"/>
      <w:numFmt w:val="bullet"/>
      <w:lvlText w:val="•"/>
      <w:lvlJc w:val="left"/>
      <w:pPr>
        <w:tabs>
          <w:tab w:val="num" w:pos="5760"/>
        </w:tabs>
        <w:ind w:left="5760" w:hanging="360"/>
      </w:pPr>
      <w:rPr>
        <w:rFonts w:ascii="Arial" w:hAnsi="Arial" w:hint="default"/>
      </w:rPr>
    </w:lvl>
    <w:lvl w:ilvl="8" w:tplc="8D487B8E" w:tentative="1">
      <w:start w:val="1"/>
      <w:numFmt w:val="bullet"/>
      <w:lvlText w:val="•"/>
      <w:lvlJc w:val="left"/>
      <w:pPr>
        <w:tabs>
          <w:tab w:val="num" w:pos="6480"/>
        </w:tabs>
        <w:ind w:left="6480" w:hanging="360"/>
      </w:pPr>
      <w:rPr>
        <w:rFonts w:ascii="Arial" w:hAnsi="Arial" w:hint="default"/>
      </w:rPr>
    </w:lvl>
  </w:abstractNum>
  <w:num w:numId="1" w16cid:durableId="850535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BE"/>
    <w:rsid w:val="00000F28"/>
    <w:rsid w:val="00047C1B"/>
    <w:rsid w:val="00060149"/>
    <w:rsid w:val="000D0340"/>
    <w:rsid w:val="00171636"/>
    <w:rsid w:val="001F32D2"/>
    <w:rsid w:val="001F70BE"/>
    <w:rsid w:val="00256D7B"/>
    <w:rsid w:val="00262ADB"/>
    <w:rsid w:val="002760DE"/>
    <w:rsid w:val="002D1050"/>
    <w:rsid w:val="00327681"/>
    <w:rsid w:val="00494309"/>
    <w:rsid w:val="004C1725"/>
    <w:rsid w:val="004E1F7A"/>
    <w:rsid w:val="004F5C38"/>
    <w:rsid w:val="005D2F88"/>
    <w:rsid w:val="00642B9C"/>
    <w:rsid w:val="00774EF6"/>
    <w:rsid w:val="007B2113"/>
    <w:rsid w:val="008B1839"/>
    <w:rsid w:val="00944311"/>
    <w:rsid w:val="00966682"/>
    <w:rsid w:val="009A677A"/>
    <w:rsid w:val="00A55414"/>
    <w:rsid w:val="00AF31EB"/>
    <w:rsid w:val="00B00B15"/>
    <w:rsid w:val="00B178F7"/>
    <w:rsid w:val="00C22D6D"/>
    <w:rsid w:val="00C35930"/>
    <w:rsid w:val="00CE34BE"/>
    <w:rsid w:val="00CF7743"/>
    <w:rsid w:val="00E718F1"/>
    <w:rsid w:val="00E73FAE"/>
    <w:rsid w:val="00F467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90B0"/>
  <w15:chartTrackingRefBased/>
  <w15:docId w15:val="{3BBF3204-82A8-46E7-A05A-BC6B536C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169136">
      <w:bodyDiv w:val="1"/>
      <w:marLeft w:val="0"/>
      <w:marRight w:val="0"/>
      <w:marTop w:val="0"/>
      <w:marBottom w:val="0"/>
      <w:divBdr>
        <w:top w:val="none" w:sz="0" w:space="0" w:color="auto"/>
        <w:left w:val="none" w:sz="0" w:space="0" w:color="auto"/>
        <w:bottom w:val="none" w:sz="0" w:space="0" w:color="auto"/>
        <w:right w:val="none" w:sz="0" w:space="0" w:color="auto"/>
      </w:divBdr>
    </w:div>
    <w:div w:id="2049917155">
      <w:bodyDiv w:val="1"/>
      <w:marLeft w:val="0"/>
      <w:marRight w:val="0"/>
      <w:marTop w:val="0"/>
      <w:marBottom w:val="0"/>
      <w:divBdr>
        <w:top w:val="none" w:sz="0" w:space="0" w:color="auto"/>
        <w:left w:val="none" w:sz="0" w:space="0" w:color="auto"/>
        <w:bottom w:val="none" w:sz="0" w:space="0" w:color="auto"/>
        <w:right w:val="none" w:sz="0" w:space="0" w:color="auto"/>
      </w:divBdr>
      <w:divsChild>
        <w:div w:id="140680109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4</Pages>
  <Words>2271</Words>
  <Characters>12950</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21</cp:revision>
  <dcterms:created xsi:type="dcterms:W3CDTF">2023-05-12T08:12:00Z</dcterms:created>
  <dcterms:modified xsi:type="dcterms:W3CDTF">2023-05-14T17:32:00Z</dcterms:modified>
</cp:coreProperties>
</file>