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2538B" w14:textId="55628A16" w:rsidR="00060149" w:rsidRDefault="00C62D30">
      <w:r>
        <w:t xml:space="preserve">Titolo: </w:t>
      </w:r>
      <w:r w:rsidRPr="00C62D30">
        <w:t xml:space="preserve">la pubblicità per conto terzi </w:t>
      </w:r>
      <w:r w:rsidR="00E53C1B">
        <w:t>realizzata all’interno d</w:t>
      </w:r>
      <w:r w:rsidRPr="00C62D30">
        <w:t>egli impianti sportivi deve pagare il CUP</w:t>
      </w:r>
    </w:p>
    <w:p w14:paraId="255A2123" w14:textId="5D3031AA" w:rsidR="00C62D30" w:rsidRDefault="00C62D30">
      <w:r>
        <w:t>Di Alessandro Merciari</w:t>
      </w:r>
    </w:p>
    <w:p w14:paraId="1594CA62" w14:textId="77777777" w:rsidR="00E53C1B" w:rsidRDefault="00E53C1B"/>
    <w:p w14:paraId="0536671D" w14:textId="3BBB084B" w:rsidR="00E53C1B" w:rsidRDefault="00E53C1B" w:rsidP="00E53C1B">
      <w:pPr>
        <w:jc w:val="both"/>
      </w:pPr>
      <w:r>
        <w:t xml:space="preserve">La Corte di Cassazione torna su un tema più volte affrontato legato alla speciale esenzione riconosciuta alle ASD allorquando realizzano iniziative pubblicitarie all’interno di impianti sportivi. Lo fa con la sentenza </w:t>
      </w:r>
      <w:r>
        <w:t>numero</w:t>
      </w:r>
      <w:r w:rsidRPr="00E53C1B">
        <w:t xml:space="preserve"> 2769</w:t>
      </w:r>
      <w:r>
        <w:t>/2026</w:t>
      </w:r>
      <w:r>
        <w:t xml:space="preserve"> della Quinta </w:t>
      </w:r>
      <w:r w:rsidRPr="00E53C1B">
        <w:t>Sezione pubblicata</w:t>
      </w:r>
      <w:r>
        <w:t xml:space="preserve"> l’otto febbraio scorso.</w:t>
      </w:r>
    </w:p>
    <w:p w14:paraId="6139B478" w14:textId="07917F94" w:rsidR="00E53C1B" w:rsidRPr="00E53C1B" w:rsidRDefault="00E53C1B" w:rsidP="00E53C1B">
      <w:pPr>
        <w:jc w:val="both"/>
      </w:pPr>
      <w:r w:rsidRPr="00E53C1B">
        <w:t>Una delle ipotesi di esenzione prevista dal Legislatore al comma 833</w:t>
      </w:r>
      <w:r>
        <w:t xml:space="preserve"> della legge 160/2019 che</w:t>
      </w:r>
      <w:r w:rsidRPr="00E53C1B">
        <w:t xml:space="preserve"> riguarda le iniziative pubblicitarie realizzate dalle Associazioni Sportive Dilettantistiche quando espongono messaggi pubblicitari all’interno di palestre e impianti sportivi utilizzati per le proprie attività. </w:t>
      </w:r>
    </w:p>
    <w:p w14:paraId="7DCD43C5" w14:textId="77777777" w:rsidR="00E53C1B" w:rsidRPr="00E53C1B" w:rsidRDefault="00E53C1B" w:rsidP="00E53C1B">
      <w:pPr>
        <w:jc w:val="both"/>
      </w:pPr>
      <w:r w:rsidRPr="00E53C1B">
        <w:t xml:space="preserve">Una misura agevolativa che il Legislatore ha voluto confermare in continuità con quanto accadeva con i precedenti prelievi. Un’attenzione rivolta al mondo delle ASD che in Italia svolgono un importante ruolo sociale nel garantire lo svolgimento di attività fisica di bambini, ragazzi e adulti di ogni età. </w:t>
      </w:r>
    </w:p>
    <w:p w14:paraId="46ADD726" w14:textId="3EECBCAB" w:rsidR="00E53C1B" w:rsidRPr="00E53C1B" w:rsidRDefault="00E53C1B" w:rsidP="00E53C1B">
      <w:pPr>
        <w:jc w:val="both"/>
      </w:pPr>
      <w:r w:rsidRPr="00E53C1B">
        <w:t xml:space="preserve">L’esposizione di striscioni pubblicitari di sponsor e operatori economici presso gli impianti </w:t>
      </w:r>
      <w:r>
        <w:t>rappresenta</w:t>
      </w:r>
      <w:r w:rsidRPr="00E53C1B">
        <w:t xml:space="preserve"> certamente una delle fonti principali </w:t>
      </w:r>
      <w:r>
        <w:t xml:space="preserve">(se non l’unica) </w:t>
      </w:r>
      <w:r w:rsidRPr="00E53C1B">
        <w:t>di sovvenzionamento di queste attività non lucrative</w:t>
      </w:r>
      <w:r>
        <w:t>,</w:t>
      </w:r>
      <w:r w:rsidRPr="00E53C1B">
        <w:t xml:space="preserve"> e in questo senso si deve leggere la volontà del Legislatore di adottare una norma agevolativa rispondente alle esigenze delle associazioni. </w:t>
      </w:r>
    </w:p>
    <w:p w14:paraId="1623ACF1" w14:textId="77777777" w:rsidR="00E53C1B" w:rsidRPr="00E53C1B" w:rsidRDefault="00E53C1B" w:rsidP="00E53C1B">
      <w:pPr>
        <w:jc w:val="both"/>
      </w:pPr>
      <w:r w:rsidRPr="00E53C1B">
        <w:t xml:space="preserve">Il testo della lettera P del comma 833, articolo 1 Legge 160/2019 prevede: </w:t>
      </w:r>
    </w:p>
    <w:p w14:paraId="7815CB02" w14:textId="71AE4EBF" w:rsidR="00E53C1B" w:rsidRDefault="00E53C1B" w:rsidP="00E53C1B">
      <w:pPr>
        <w:jc w:val="both"/>
      </w:pPr>
      <w:r w:rsidRPr="00E53C1B">
        <w:rPr>
          <w:i/>
          <w:iCs/>
        </w:rPr>
        <w:t>“i messaggi pubblicitari, in qualunque modo realizzati dai soggetti di cui al comma 1 dell’articolo 90 della Legge 27 dicembre 2002, n. 289, rivolti all’interno degli impianti dagli stessi utilizzati per manifestazioni sportive dilettantistiche con capienza inferiore a tremila posti;”</w:t>
      </w:r>
    </w:p>
    <w:p w14:paraId="2A39FA44" w14:textId="3296E06F" w:rsidR="00E53C1B" w:rsidRDefault="00E53C1B" w:rsidP="00E53C1B">
      <w:pPr>
        <w:jc w:val="both"/>
      </w:pPr>
      <w:r>
        <w:t xml:space="preserve">Il tema affrontato dalla Cassazione è sostanzialmente quello di capire se </w:t>
      </w:r>
      <w:r>
        <w:t>l’agevolazione operi sia per le</w:t>
      </w:r>
      <w:r>
        <w:t xml:space="preserve"> </w:t>
      </w:r>
      <w:r>
        <w:t>iniziative pubblicitarie</w:t>
      </w:r>
      <w:r>
        <w:t xml:space="preserve"> </w:t>
      </w:r>
      <w:r>
        <w:t>dell’associazione sportiva stessa che per la pubblicità effettuata per conto terzi, ovvero per quella</w:t>
      </w:r>
      <w:r>
        <w:t xml:space="preserve"> </w:t>
      </w:r>
      <w:r>
        <w:t>solitamente a vantaggio di aziende che forniscono contributi economici a sostegno delle attività</w:t>
      </w:r>
      <w:r>
        <w:t xml:space="preserve"> </w:t>
      </w:r>
      <w:r>
        <w:t>sportive stesse</w:t>
      </w:r>
      <w:r w:rsidR="00674C81">
        <w:t>.</w:t>
      </w:r>
    </w:p>
    <w:p w14:paraId="2389DA23" w14:textId="09041CC9" w:rsidR="00674C81" w:rsidRDefault="00674C81" w:rsidP="00674C81">
      <w:pPr>
        <w:jc w:val="both"/>
      </w:pPr>
      <w:r>
        <w:t xml:space="preserve">Nella specifica vertenza, veniva richiesto il pagamento per la pubblicità esposta presso dei campi da tennis da parte di una nota ditta di palline e materiale da gioco. In secondo grado, la Corte di Giustizia Regionale della Puglia riteneva </w:t>
      </w:r>
      <w:r w:rsidRPr="00674C81">
        <w:t>legittima l'applicazione dell'imposta, poiché gli striscioni con il messaggio pubblicitario dagli stessi veicolati, erano collocati in modo permanente e non per il tempo delle manifestazioni sportive, sostenendo, altresì, che il regime di esenzione fosse applicabile solo per la promozione diretta dell'attività sportiva dell'associazione dilettantistica e non per la comunicazione di prodotti o servizi di terzi</w:t>
      </w:r>
      <w:r>
        <w:t>.</w:t>
      </w:r>
    </w:p>
    <w:p w14:paraId="6BF749B0" w14:textId="0B959DE9" w:rsidR="004C1853" w:rsidRDefault="00674C81" w:rsidP="00674C81">
      <w:pPr>
        <w:jc w:val="both"/>
      </w:pPr>
      <w:r>
        <w:t>La Corte di Cassazione nella sua decisione riprende</w:t>
      </w:r>
      <w:r w:rsidR="00057B30">
        <w:t xml:space="preserve"> innanzi </w:t>
      </w:r>
      <w:proofErr w:type="gramStart"/>
      <w:r w:rsidR="00057B30">
        <w:t xml:space="preserve">tutto </w:t>
      </w:r>
      <w:r>
        <w:t xml:space="preserve"> il</w:t>
      </w:r>
      <w:proofErr w:type="gramEnd"/>
      <w:r>
        <w:t xml:space="preserve"> concetto di presupposto applicativo specificando che: </w:t>
      </w:r>
    </w:p>
    <w:p w14:paraId="09184A3F" w14:textId="759CF93E" w:rsidR="004C1853" w:rsidRDefault="00674C81" w:rsidP="004C1853">
      <w:pPr>
        <w:jc w:val="both"/>
        <w:rPr>
          <w:i/>
          <w:iCs/>
        </w:rPr>
      </w:pPr>
      <w:r w:rsidRPr="004C1853">
        <w:rPr>
          <w:i/>
          <w:iCs/>
        </w:rPr>
        <w:t>“</w:t>
      </w:r>
      <w:r w:rsidR="004C1853" w:rsidRPr="004C1853">
        <w:rPr>
          <w:i/>
          <w:iCs/>
        </w:rPr>
        <w:t>In particolare, si è affermato nella giurisprudenza di legittimità che l’art.5 del D.</w:t>
      </w:r>
      <w:r w:rsidR="004C1853">
        <w:rPr>
          <w:i/>
          <w:iCs/>
        </w:rPr>
        <w:t xml:space="preserve"> </w:t>
      </w:r>
      <w:r w:rsidR="004C1853" w:rsidRPr="004C1853">
        <w:rPr>
          <w:i/>
          <w:iCs/>
        </w:rPr>
        <w:t>Lgs. n. 507 del 1993 intende assoggettare ad imposizione il messaggio pubblicitario attuato "attraverso forme di comunicazione visive o acustiche", in quanto espressivo di capacità contributiva, tutte le volte in cui l'uso del segno distintivo dell'impresa o del prodotto (ditta, ragione sociale, marchio) travalica la mera finalità distintiva, che è quella di consentire al consumatore di riconoscere i prodotti o servizi offerti sul mercato dagli altri operatori del settore, orientandone le scelte, per il luogo (pubblico, aperto o esposto al pubblico) ove esso è situato, per le sue caratteristiche strutturali, o per le modalità di utilizzo, in quanto oggettivamente idoneo a far conoscere ad un numero indeterminato di possibili acquirenti o utenti il nome, l'attività o il prodotto dell'impresa (tra le altre, Cass.30048/18 Cass. n. 11530/2018, n. 8658/2015, e n. 9580/1994, n. 8220/1993, n. 1930/1990, con riferimento al 6, D.P.R. n. 639 del 1972, art. 6).</w:t>
      </w:r>
      <w:r w:rsidR="004C1853" w:rsidRPr="004C1853">
        <w:rPr>
          <w:i/>
          <w:iCs/>
        </w:rPr>
        <w:t>”</w:t>
      </w:r>
      <w:r w:rsidR="004C1853" w:rsidRPr="004C1853">
        <w:rPr>
          <w:i/>
          <w:iCs/>
        </w:rPr>
        <w:t xml:space="preserve"> </w:t>
      </w:r>
    </w:p>
    <w:p w14:paraId="3B029B27" w14:textId="28E7D1B0" w:rsidR="00057B30" w:rsidRDefault="00057B30" w:rsidP="004C1853">
      <w:pPr>
        <w:jc w:val="both"/>
      </w:pPr>
      <w:r>
        <w:lastRenderedPageBreak/>
        <w:t xml:space="preserve">Sul nocciolo della questione, in relazione all’applicazione dell’esenzione per la pubblicità </w:t>
      </w:r>
      <w:proofErr w:type="gramStart"/>
      <w:r>
        <w:t>realizzata  a</w:t>
      </w:r>
      <w:proofErr w:type="gramEnd"/>
      <w:r>
        <w:t xml:space="preserve"> favore di soggetti terzi all’ASD, la corte scrive:</w:t>
      </w:r>
    </w:p>
    <w:p w14:paraId="1F5129B0" w14:textId="4619F507" w:rsidR="00057B30" w:rsidRDefault="00057B30" w:rsidP="00057B30">
      <w:pPr>
        <w:jc w:val="both"/>
        <w:rPr>
          <w:i/>
          <w:iCs/>
        </w:rPr>
      </w:pPr>
      <w:r w:rsidRPr="00057B30">
        <w:rPr>
          <w:i/>
          <w:iCs/>
        </w:rPr>
        <w:t>“</w:t>
      </w:r>
      <w:r w:rsidRPr="00057B30">
        <w:rPr>
          <w:i/>
          <w:iCs/>
        </w:rPr>
        <w:t>2.2 Come già affermato da questa Corte (vedi Cass. n. 2184/20) l’esenzione dall’imposta della pubblicità di cui all’art.90 comma 11 bis della legge 289/2002, così come interpretato autenticamente dall’art.1 comma 128 delle legge 266/2005, deve essere intesa in senso restrittivo ossia che le associazioni sportive dilettantistiche e le società sportive dilettantistiche costituite in società di capitali senza fine lucro vanno esenti da imposta sulla pubblicità laddove effettuino, all’interno di strutture sportive con capienza inferiore a 3000 posti, propaganda della propria attività al fine di ampliare la base dei propri associati e dei propri soci e di diffondere l’attività sportiva dilettantistica. Ciò in considerazione dell’uso da parte della norma di interpretazione autentica dell’espressione pubblicità in qualunque modo realizzata riferita alle predette associazioni e società sportive, con esclusione, pertanto, di quelle realizzata da soggetti terzi su spazi, messi a disposizione da tali enti.</w:t>
      </w:r>
      <w:r w:rsidRPr="00057B30">
        <w:rPr>
          <w:i/>
          <w:iCs/>
        </w:rPr>
        <w:t>”</w:t>
      </w:r>
      <w:r w:rsidRPr="00057B30">
        <w:rPr>
          <w:i/>
          <w:iCs/>
        </w:rPr>
        <w:t xml:space="preserve"> </w:t>
      </w:r>
    </w:p>
    <w:p w14:paraId="7BCB4C16" w14:textId="479034E8" w:rsidR="00057B30" w:rsidRDefault="00057B30" w:rsidP="00057B30">
      <w:pPr>
        <w:jc w:val="both"/>
      </w:pPr>
      <w:r>
        <w:t>Viene con la recente sentenza confermata la linea già assunta dalla Corte, che interpreta la norma di agevolazione in senso restrittivo, applicando la norma di esenzione solo alle iniziative della società sportiva stessa, senza riconoscere il beneficio a favore dei soggetti terzi.</w:t>
      </w:r>
    </w:p>
    <w:p w14:paraId="00D04108" w14:textId="7D6FD72A" w:rsidR="00057B30" w:rsidRDefault="00D60CE4" w:rsidP="00D60CE4">
      <w:pPr>
        <w:jc w:val="both"/>
      </w:pPr>
      <w:r>
        <w:t xml:space="preserve">Linea che ancora una volta lascia dei dubbi. Quale motivo avrebbe indotto il Legislatore nell’andare a limitare l’esenzione agli impianti </w:t>
      </w:r>
      <w:r w:rsidRPr="00D60CE4">
        <w:t>di piccole dimensioni (capienza potenziale inferiore a 3000 posti)</w:t>
      </w:r>
      <w:r>
        <w:t xml:space="preserve">, se la pubblicità per conto terzi dove comunque sempre essere assoggettata al Canone? </w:t>
      </w:r>
    </w:p>
    <w:p w14:paraId="45913168" w14:textId="6C2CAAB2" w:rsidR="00D60CE4" w:rsidRDefault="00D60CE4" w:rsidP="00D60CE4">
      <w:pPr>
        <w:jc w:val="both"/>
      </w:pPr>
      <w:r>
        <w:t xml:space="preserve">La linea della Corte di Cassazione smentisce anche il MEF laddove </w:t>
      </w:r>
      <w:r>
        <w:t>nella risoluzione n.</w:t>
      </w:r>
      <w:r>
        <w:t xml:space="preserve"> </w:t>
      </w:r>
      <w:r>
        <w:t>1576/DPF del 3 aprile 2006</w:t>
      </w:r>
      <w:r>
        <w:t xml:space="preserve">, scriveva: </w:t>
      </w:r>
      <w:r w:rsidRPr="00D60CE4">
        <w:rPr>
          <w:i/>
          <w:iCs/>
        </w:rPr>
        <w:t>“… la ratio dell’art. 1, comma 128, della legge n. 266 del 2005, è proprio quella di</w:t>
      </w:r>
      <w:r w:rsidRPr="00D60CE4">
        <w:rPr>
          <w:i/>
          <w:iCs/>
        </w:rPr>
        <w:t xml:space="preserve"> </w:t>
      </w:r>
      <w:r w:rsidRPr="00D60CE4">
        <w:rPr>
          <w:i/>
          <w:iCs/>
        </w:rPr>
        <w:t>agevolare ogni forma di pubblicità “in qualunque modo realizzata” dai soggetti che utilizzano impianti</w:t>
      </w:r>
      <w:r w:rsidRPr="00D60CE4">
        <w:rPr>
          <w:i/>
          <w:iCs/>
        </w:rPr>
        <w:t xml:space="preserve"> </w:t>
      </w:r>
      <w:r w:rsidRPr="00D60CE4">
        <w:rPr>
          <w:i/>
          <w:iCs/>
        </w:rPr>
        <w:t>di modeste dimensioni per lo svolgimento di manifestazioni sportive dilettantistiche. Pertanto</w:t>
      </w:r>
      <w:r>
        <w:rPr>
          <w:i/>
          <w:iCs/>
        </w:rPr>
        <w:t xml:space="preserve"> </w:t>
      </w:r>
      <w:r w:rsidRPr="00D60CE4">
        <w:rPr>
          <w:i/>
          <w:iCs/>
        </w:rPr>
        <w:t>l’esenzione in parola deve essere accordata anche nell’ipotesi in cui vengano esposti messaggi</w:t>
      </w:r>
      <w:r>
        <w:rPr>
          <w:i/>
          <w:iCs/>
        </w:rPr>
        <w:t xml:space="preserve"> </w:t>
      </w:r>
      <w:r w:rsidRPr="00D60CE4">
        <w:rPr>
          <w:i/>
          <w:iCs/>
        </w:rPr>
        <w:t>pubblicitari che non riguardino specificamente le società utilizzatrici degli impianti sportivi, ma</w:t>
      </w:r>
      <w:r>
        <w:rPr>
          <w:i/>
          <w:iCs/>
        </w:rPr>
        <w:t xml:space="preserve"> </w:t>
      </w:r>
      <w:r w:rsidRPr="00D60CE4">
        <w:rPr>
          <w:i/>
          <w:iCs/>
        </w:rPr>
        <w:t>soggetti terzi.”</w:t>
      </w:r>
    </w:p>
    <w:p w14:paraId="18D5E1DE" w14:textId="42AB3563" w:rsidR="00D60CE4" w:rsidRPr="00D60CE4" w:rsidRDefault="00D60CE4" w:rsidP="00D60CE4">
      <w:pPr>
        <w:jc w:val="both"/>
      </w:pPr>
      <w:r>
        <w:t xml:space="preserve">Ciò che prevale per la Suprema Corte di Cassazione è l’interpretazione in senso restrittivo della norma di agevolazione fiscale. Principio che abbiamo molte volte visto applicare rigidamente nelle diverse ipotesi di esenzione stabilite nella disciplina CUP dal comma 833 della legge 160/2019 e prima nella disciplina ICP dall’articolo 17 del </w:t>
      </w:r>
      <w:proofErr w:type="spellStart"/>
      <w:r>
        <w:t>D.Lgs</w:t>
      </w:r>
      <w:proofErr w:type="spellEnd"/>
      <w:r>
        <w:t xml:space="preserve"> 507/1993.</w:t>
      </w:r>
    </w:p>
    <w:p w14:paraId="07B8F6D8" w14:textId="77777777" w:rsidR="00057B30" w:rsidRDefault="00057B30" w:rsidP="00057B30">
      <w:pPr>
        <w:pStyle w:val="Default"/>
        <w:rPr>
          <w:sz w:val="23"/>
          <w:szCs w:val="23"/>
        </w:rPr>
      </w:pPr>
    </w:p>
    <w:p w14:paraId="78456A9B" w14:textId="5DE26EE5" w:rsidR="00057B30" w:rsidRPr="00057B30" w:rsidRDefault="00057B30" w:rsidP="004C1853">
      <w:pPr>
        <w:jc w:val="both"/>
      </w:pPr>
    </w:p>
    <w:p w14:paraId="03E4FDE6" w14:textId="77777777" w:rsidR="004C1853" w:rsidRPr="004C1853" w:rsidRDefault="004C1853" w:rsidP="004C1853">
      <w:pPr>
        <w:jc w:val="both"/>
      </w:pPr>
    </w:p>
    <w:p w14:paraId="555004DA" w14:textId="02ED1E13" w:rsidR="00674C81" w:rsidRPr="00674C81" w:rsidRDefault="00674C81" w:rsidP="00674C81">
      <w:pPr>
        <w:jc w:val="both"/>
      </w:pPr>
    </w:p>
    <w:p w14:paraId="0CA8DB3E" w14:textId="7A822FCD" w:rsidR="00674C81" w:rsidRDefault="00674C81" w:rsidP="00E53C1B">
      <w:pPr>
        <w:jc w:val="both"/>
      </w:pPr>
    </w:p>
    <w:sectPr w:rsidR="00674C81">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altName w:val="Verdana"/>
    <w:panose1 w:val="020B0604030504040204"/>
    <w:charset w:val="00"/>
    <w:family w:val="swiss"/>
    <w:pitch w:val="variable"/>
    <w:sig w:usb0="A0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65C"/>
    <w:rsid w:val="00057B30"/>
    <w:rsid w:val="00060149"/>
    <w:rsid w:val="004C1853"/>
    <w:rsid w:val="00674C81"/>
    <w:rsid w:val="006B565C"/>
    <w:rsid w:val="007B1496"/>
    <w:rsid w:val="009E585E"/>
    <w:rsid w:val="00C62D30"/>
    <w:rsid w:val="00D340FF"/>
    <w:rsid w:val="00D60CE4"/>
    <w:rsid w:val="00E53C1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D012B"/>
  <w15:chartTrackingRefBased/>
  <w15:docId w15:val="{FCDEEC15-DFFF-485F-9562-4EBF1CD09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6B56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6B56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6B565C"/>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6B565C"/>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6B565C"/>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6B565C"/>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6B565C"/>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6B565C"/>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6B565C"/>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6B565C"/>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6B565C"/>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6B565C"/>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6B565C"/>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6B565C"/>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6B565C"/>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6B565C"/>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6B565C"/>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6B565C"/>
    <w:rPr>
      <w:rFonts w:eastAsiaTheme="majorEastAsia" w:cstheme="majorBidi"/>
      <w:color w:val="272727" w:themeColor="text1" w:themeTint="D8"/>
    </w:rPr>
  </w:style>
  <w:style w:type="paragraph" w:styleId="Titolo">
    <w:name w:val="Title"/>
    <w:basedOn w:val="Normale"/>
    <w:next w:val="Normale"/>
    <w:link w:val="TitoloCarattere"/>
    <w:uiPriority w:val="10"/>
    <w:qFormat/>
    <w:rsid w:val="006B56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6B565C"/>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6B565C"/>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6B565C"/>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6B565C"/>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6B565C"/>
    <w:rPr>
      <w:i/>
      <w:iCs/>
      <w:color w:val="404040" w:themeColor="text1" w:themeTint="BF"/>
    </w:rPr>
  </w:style>
  <w:style w:type="paragraph" w:styleId="Paragrafoelenco">
    <w:name w:val="List Paragraph"/>
    <w:basedOn w:val="Normale"/>
    <w:uiPriority w:val="34"/>
    <w:qFormat/>
    <w:rsid w:val="006B565C"/>
    <w:pPr>
      <w:ind w:left="720"/>
      <w:contextualSpacing/>
    </w:pPr>
  </w:style>
  <w:style w:type="character" w:styleId="Enfasiintensa">
    <w:name w:val="Intense Emphasis"/>
    <w:basedOn w:val="Carpredefinitoparagrafo"/>
    <w:uiPriority w:val="21"/>
    <w:qFormat/>
    <w:rsid w:val="006B565C"/>
    <w:rPr>
      <w:i/>
      <w:iCs/>
      <w:color w:val="2F5496" w:themeColor="accent1" w:themeShade="BF"/>
    </w:rPr>
  </w:style>
  <w:style w:type="paragraph" w:styleId="Citazioneintensa">
    <w:name w:val="Intense Quote"/>
    <w:basedOn w:val="Normale"/>
    <w:next w:val="Normale"/>
    <w:link w:val="CitazioneintensaCarattere"/>
    <w:uiPriority w:val="30"/>
    <w:qFormat/>
    <w:rsid w:val="006B56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6B565C"/>
    <w:rPr>
      <w:i/>
      <w:iCs/>
      <w:color w:val="2F5496" w:themeColor="accent1" w:themeShade="BF"/>
    </w:rPr>
  </w:style>
  <w:style w:type="character" w:styleId="Riferimentointenso">
    <w:name w:val="Intense Reference"/>
    <w:basedOn w:val="Carpredefinitoparagrafo"/>
    <w:uiPriority w:val="32"/>
    <w:qFormat/>
    <w:rsid w:val="006B565C"/>
    <w:rPr>
      <w:b/>
      <w:bCs/>
      <w:smallCaps/>
      <w:color w:val="2F5496" w:themeColor="accent1" w:themeShade="BF"/>
      <w:spacing w:val="5"/>
    </w:rPr>
  </w:style>
  <w:style w:type="paragraph" w:customStyle="1" w:styleId="Default">
    <w:name w:val="Default"/>
    <w:rsid w:val="004C1853"/>
    <w:pPr>
      <w:autoSpaceDE w:val="0"/>
      <w:autoSpaceDN w:val="0"/>
      <w:adjustRightInd w:val="0"/>
      <w:spacing w:after="0" w:line="240" w:lineRule="auto"/>
    </w:pPr>
    <w:rPr>
      <w:rFonts w:ascii="Verdana" w:hAnsi="Verdana" w:cs="Verdana"/>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994</Words>
  <Characters>5668</Characters>
  <Application>Microsoft Office Word</Application>
  <DocSecurity>0</DocSecurity>
  <Lines>47</Lines>
  <Paragraphs>13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5</cp:revision>
  <dcterms:created xsi:type="dcterms:W3CDTF">2026-02-23T11:35:00Z</dcterms:created>
  <dcterms:modified xsi:type="dcterms:W3CDTF">2026-02-25T08:01:00Z</dcterms:modified>
</cp:coreProperties>
</file>