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1392C" w14:textId="03FDF299" w:rsidR="00AC517F" w:rsidRPr="00EC74F2" w:rsidRDefault="00EC74F2" w:rsidP="00141472">
      <w:pPr>
        <w:jc w:val="both"/>
        <w:rPr>
          <w:sz w:val="24"/>
          <w:szCs w:val="24"/>
        </w:rPr>
      </w:pPr>
      <w:r w:rsidRPr="00EC74F2">
        <w:rPr>
          <w:sz w:val="24"/>
          <w:szCs w:val="24"/>
        </w:rPr>
        <w:t>Titolo: la separazione delle attività per via contrattuale e la soggettività passiva in via mediata</w:t>
      </w:r>
    </w:p>
    <w:p w14:paraId="6B80C0CD" w14:textId="5DE402E2" w:rsidR="00EC74F2" w:rsidRPr="00EC74F2" w:rsidRDefault="00EC74F2" w:rsidP="00141472">
      <w:pPr>
        <w:jc w:val="both"/>
        <w:rPr>
          <w:sz w:val="24"/>
          <w:szCs w:val="24"/>
        </w:rPr>
      </w:pPr>
      <w:r w:rsidRPr="00EC74F2">
        <w:rPr>
          <w:sz w:val="24"/>
          <w:szCs w:val="24"/>
        </w:rPr>
        <w:t>Di Alessandro Merciari</w:t>
      </w:r>
    </w:p>
    <w:p w14:paraId="10DE8BF8" w14:textId="6209864C" w:rsidR="00AC517F" w:rsidRDefault="00EC74F2" w:rsidP="00141472">
      <w:pPr>
        <w:jc w:val="both"/>
        <w:rPr>
          <w:sz w:val="24"/>
          <w:szCs w:val="24"/>
        </w:rPr>
      </w:pPr>
      <w:r>
        <w:rPr>
          <w:sz w:val="24"/>
          <w:szCs w:val="24"/>
        </w:rPr>
        <w:t xml:space="preserve">Il comma 831 della Legge 160/2019, nel disciplinare il canone previsto per le occupazioni permanenti necessarie all’erogazione dei servizi di rete, </w:t>
      </w:r>
      <w:r w:rsidR="0001193E">
        <w:rPr>
          <w:sz w:val="24"/>
          <w:szCs w:val="24"/>
        </w:rPr>
        <w:t xml:space="preserve">introduce la </w:t>
      </w:r>
      <w:r w:rsidR="0001193E" w:rsidRPr="0001193E">
        <w:rPr>
          <w:i/>
          <w:iCs/>
          <w:sz w:val="24"/>
          <w:szCs w:val="24"/>
        </w:rPr>
        <w:t>soggettività passiva in via mediata</w:t>
      </w:r>
      <w:r w:rsidR="00BA39B2" w:rsidRPr="00BA39B2">
        <w:rPr>
          <w:sz w:val="24"/>
          <w:szCs w:val="24"/>
        </w:rPr>
        <w:t>, ovvero</w:t>
      </w:r>
      <w:r w:rsidR="00BA39B2">
        <w:rPr>
          <w:i/>
          <w:iCs/>
          <w:sz w:val="24"/>
          <w:szCs w:val="24"/>
        </w:rPr>
        <w:t xml:space="preserve"> </w:t>
      </w:r>
      <w:r w:rsidR="0001193E">
        <w:rPr>
          <w:sz w:val="24"/>
          <w:szCs w:val="24"/>
        </w:rPr>
        <w:t xml:space="preserve">quella particolare condizione che vede </w:t>
      </w:r>
      <w:r w:rsidR="00BA39B2">
        <w:rPr>
          <w:sz w:val="24"/>
          <w:szCs w:val="24"/>
        </w:rPr>
        <w:t xml:space="preserve">sottostare </w:t>
      </w:r>
      <w:r w:rsidR="00FE69A3">
        <w:rPr>
          <w:sz w:val="24"/>
          <w:szCs w:val="24"/>
        </w:rPr>
        <w:t xml:space="preserve">al pagamento del CUP </w:t>
      </w:r>
      <w:r w:rsidR="0001193E">
        <w:rPr>
          <w:sz w:val="24"/>
          <w:szCs w:val="24"/>
        </w:rPr>
        <w:t xml:space="preserve">le aziende che erogano i pubblici servizi </w:t>
      </w:r>
      <w:r w:rsidR="00FE69A3">
        <w:rPr>
          <w:sz w:val="24"/>
          <w:szCs w:val="24"/>
        </w:rPr>
        <w:t>allor</w:t>
      </w:r>
      <w:r w:rsidR="0001193E">
        <w:rPr>
          <w:sz w:val="24"/>
          <w:szCs w:val="24"/>
        </w:rPr>
        <w:t xml:space="preserve">quando utilizzano le infrastrutture di altri soggetti. Una vera novità </w:t>
      </w:r>
      <w:r w:rsidR="00FE69A3">
        <w:rPr>
          <w:sz w:val="24"/>
          <w:szCs w:val="24"/>
        </w:rPr>
        <w:t>nel panorama delle</w:t>
      </w:r>
      <w:r w:rsidR="0001193E">
        <w:rPr>
          <w:sz w:val="24"/>
          <w:szCs w:val="24"/>
        </w:rPr>
        <w:t xml:space="preserve"> entrate locali, dove si realizza </w:t>
      </w:r>
      <w:r w:rsidR="00580AF7">
        <w:rPr>
          <w:sz w:val="24"/>
          <w:szCs w:val="24"/>
        </w:rPr>
        <w:t xml:space="preserve">per la prima volta </w:t>
      </w:r>
      <w:r w:rsidR="0001193E">
        <w:rPr>
          <w:sz w:val="24"/>
          <w:szCs w:val="24"/>
        </w:rPr>
        <w:t xml:space="preserve">la soggettività </w:t>
      </w:r>
      <w:r w:rsidR="00BA39B2">
        <w:rPr>
          <w:sz w:val="24"/>
          <w:szCs w:val="24"/>
        </w:rPr>
        <w:t xml:space="preserve">passiva </w:t>
      </w:r>
      <w:r w:rsidR="0001193E">
        <w:rPr>
          <w:sz w:val="24"/>
          <w:szCs w:val="24"/>
        </w:rPr>
        <w:t>al canone anche senza una propria e diretta occupazione di suolo pubblico.</w:t>
      </w:r>
    </w:p>
    <w:p w14:paraId="2485EEDA" w14:textId="727FE1C4" w:rsidR="0001193E" w:rsidRDefault="0001193E" w:rsidP="00141472">
      <w:pPr>
        <w:jc w:val="both"/>
        <w:rPr>
          <w:sz w:val="24"/>
          <w:szCs w:val="24"/>
        </w:rPr>
      </w:pPr>
      <w:r>
        <w:rPr>
          <w:sz w:val="24"/>
          <w:szCs w:val="24"/>
        </w:rPr>
        <w:t xml:space="preserve">Vediamo </w:t>
      </w:r>
      <w:r w:rsidR="00215101">
        <w:rPr>
          <w:sz w:val="24"/>
          <w:szCs w:val="24"/>
        </w:rPr>
        <w:t xml:space="preserve">in che forma </w:t>
      </w:r>
      <w:r>
        <w:rPr>
          <w:sz w:val="24"/>
          <w:szCs w:val="24"/>
        </w:rPr>
        <w:t>il Legislatore ha specificato nel comma 831</w:t>
      </w:r>
      <w:r w:rsidR="00215101">
        <w:rPr>
          <w:sz w:val="24"/>
          <w:szCs w:val="24"/>
        </w:rPr>
        <w:t xml:space="preserve"> la nuova </w:t>
      </w:r>
      <w:r w:rsidR="00A632CA">
        <w:rPr>
          <w:sz w:val="24"/>
          <w:szCs w:val="24"/>
        </w:rPr>
        <w:t xml:space="preserve">ipotesi: </w:t>
      </w:r>
      <w:r w:rsidR="00A632CA" w:rsidRPr="00580AF7">
        <w:rPr>
          <w:i/>
          <w:iCs/>
          <w:sz w:val="24"/>
          <w:szCs w:val="24"/>
        </w:rPr>
        <w:t>“</w:t>
      </w:r>
      <w:r w:rsidR="00580AF7" w:rsidRPr="00580AF7">
        <w:rPr>
          <w:i/>
          <w:iCs/>
          <w:sz w:val="24"/>
          <w:szCs w:val="24"/>
        </w:rPr>
        <w:t>… il canone è dovuto dal soggetto titolare dell'atto di concessione dell'occupazione del suolo pubblico e dai soggetti che occupano il suolo pubblico, anche in via mediata, attraverso l'utilizzo materiale delle infrastrutture del soggetto titolare della concessione sulla base del numero delle rispettive utenze</w:t>
      </w:r>
      <w:r w:rsidR="00580AF7">
        <w:rPr>
          <w:sz w:val="24"/>
          <w:szCs w:val="24"/>
        </w:rPr>
        <w:t>…”</w:t>
      </w:r>
    </w:p>
    <w:p w14:paraId="71002075" w14:textId="33BDF77A" w:rsidR="00580AF7" w:rsidRDefault="00FE69A3" w:rsidP="00141472">
      <w:pPr>
        <w:jc w:val="both"/>
        <w:rPr>
          <w:sz w:val="24"/>
          <w:szCs w:val="24"/>
        </w:rPr>
      </w:pPr>
      <w:r>
        <w:rPr>
          <w:sz w:val="24"/>
          <w:szCs w:val="24"/>
        </w:rPr>
        <w:t>Successivamente, c</w:t>
      </w:r>
      <w:r w:rsidR="00D23E80">
        <w:rPr>
          <w:sz w:val="24"/>
          <w:szCs w:val="24"/>
        </w:rPr>
        <w:t>on l’introduzione della norma di interpretazione autentica</w:t>
      </w:r>
      <w:r>
        <w:rPr>
          <w:sz w:val="24"/>
          <w:szCs w:val="24"/>
        </w:rPr>
        <w:t xml:space="preserve"> di </w:t>
      </w:r>
      <w:r w:rsidR="004733E6" w:rsidRPr="00675FFB">
        <w:rPr>
          <w:sz w:val="24"/>
          <w:szCs w:val="24"/>
        </w:rPr>
        <w:t>conversione del decreto legge 146/2021</w:t>
      </w:r>
      <w:r w:rsidR="004733E6">
        <w:rPr>
          <w:sz w:val="24"/>
          <w:szCs w:val="24"/>
        </w:rPr>
        <w:t xml:space="preserve">, il Legislatore </w:t>
      </w:r>
      <w:r w:rsidR="004733E6" w:rsidRPr="00675FFB">
        <w:rPr>
          <w:sz w:val="24"/>
          <w:szCs w:val="24"/>
        </w:rPr>
        <w:t>ha introd</w:t>
      </w:r>
      <w:r>
        <w:rPr>
          <w:sz w:val="24"/>
          <w:szCs w:val="24"/>
        </w:rPr>
        <w:t>otto</w:t>
      </w:r>
      <w:r w:rsidR="004733E6" w:rsidRPr="00675FFB">
        <w:rPr>
          <w:sz w:val="24"/>
          <w:szCs w:val="24"/>
        </w:rPr>
        <w:t xml:space="preserve"> </w:t>
      </w:r>
      <w:r w:rsidR="00742B7C">
        <w:rPr>
          <w:sz w:val="24"/>
          <w:szCs w:val="24"/>
        </w:rPr>
        <w:t xml:space="preserve">la disposizione </w:t>
      </w:r>
      <w:r>
        <w:rPr>
          <w:sz w:val="24"/>
          <w:szCs w:val="24"/>
        </w:rPr>
        <w:t>che specifica le</w:t>
      </w:r>
      <w:r w:rsidR="004733E6" w:rsidRPr="00675FFB">
        <w:rPr>
          <w:sz w:val="24"/>
          <w:szCs w:val="24"/>
        </w:rPr>
        <w:t xml:space="preserve"> modalità di applicazione del canone laddove sia prevista una separazione tra i soggetti titolari delle infrastrutture e i soggetti titolari del contratto di vendita del bene distribuito alla clientela finale</w:t>
      </w:r>
      <w:r>
        <w:rPr>
          <w:sz w:val="24"/>
          <w:szCs w:val="24"/>
        </w:rPr>
        <w:t xml:space="preserve">. Si legge nella </w:t>
      </w:r>
      <w:r w:rsidR="00742B7C">
        <w:rPr>
          <w:sz w:val="24"/>
          <w:szCs w:val="24"/>
        </w:rPr>
        <w:t>legge</w:t>
      </w:r>
      <w:r>
        <w:rPr>
          <w:sz w:val="24"/>
          <w:szCs w:val="24"/>
        </w:rPr>
        <w:t>:</w:t>
      </w:r>
    </w:p>
    <w:p w14:paraId="4BF2B8FE" w14:textId="77482272" w:rsidR="00D23E80" w:rsidRPr="009223E7" w:rsidRDefault="00D23E80" w:rsidP="00D23E80">
      <w:pPr>
        <w:jc w:val="both"/>
        <w:rPr>
          <w:i/>
          <w:iCs/>
          <w:sz w:val="24"/>
          <w:szCs w:val="24"/>
        </w:rPr>
      </w:pPr>
      <w:r w:rsidRPr="00675FFB">
        <w:rPr>
          <w:i/>
          <w:iCs/>
          <w:sz w:val="24"/>
          <w:szCs w:val="24"/>
        </w:rPr>
        <w:t>“</w:t>
      </w:r>
      <w:r w:rsidRPr="009223E7">
        <w:rPr>
          <w:i/>
          <w:iCs/>
          <w:sz w:val="24"/>
          <w:szCs w:val="24"/>
        </w:rPr>
        <w:t>Il comma 831 dell'articolo 1 della legge 27 dicembre 2019, n. 160, si interpreta nel senso che:</w:t>
      </w:r>
      <w:r>
        <w:rPr>
          <w:i/>
          <w:iCs/>
          <w:sz w:val="24"/>
          <w:szCs w:val="24"/>
        </w:rPr>
        <w:t xml:space="preserve"> A) </w:t>
      </w:r>
      <w:r w:rsidRPr="009223E7">
        <w:rPr>
          <w:i/>
          <w:iCs/>
          <w:sz w:val="24"/>
          <w:szCs w:val="24"/>
        </w:rPr>
        <w:t xml:space="preserve">per le occupazioni permanenti di suolo pubblico effettuate </w:t>
      </w:r>
      <w:r w:rsidRPr="00FE69A3">
        <w:rPr>
          <w:i/>
          <w:iCs/>
          <w:sz w:val="24"/>
          <w:szCs w:val="24"/>
          <w:u w:val="single"/>
        </w:rPr>
        <w:t>nei settori in cui è prevista una separazione</w:t>
      </w:r>
      <w:r w:rsidRPr="009223E7">
        <w:rPr>
          <w:i/>
          <w:iCs/>
          <w:sz w:val="24"/>
          <w:szCs w:val="24"/>
        </w:rPr>
        <w:t>,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w:t>
      </w:r>
      <w:r>
        <w:rPr>
          <w:i/>
          <w:iCs/>
          <w:sz w:val="24"/>
          <w:szCs w:val="24"/>
        </w:rPr>
        <w:t>…”</w:t>
      </w:r>
    </w:p>
    <w:p w14:paraId="552500E7" w14:textId="77777777" w:rsidR="00D873B2" w:rsidRDefault="004733E6" w:rsidP="004733E6">
      <w:pPr>
        <w:numPr>
          <w:ilvl w:val="0"/>
          <w:numId w:val="2"/>
        </w:numPr>
        <w:jc w:val="both"/>
        <w:rPr>
          <w:sz w:val="24"/>
          <w:szCs w:val="24"/>
        </w:rPr>
      </w:pPr>
      <w:r>
        <w:rPr>
          <w:sz w:val="24"/>
          <w:szCs w:val="24"/>
        </w:rPr>
        <w:t>La norma chiarisce</w:t>
      </w:r>
      <w:r w:rsidR="00742B7C">
        <w:rPr>
          <w:sz w:val="24"/>
          <w:szCs w:val="24"/>
        </w:rPr>
        <w:t xml:space="preserve"> quindi </w:t>
      </w:r>
      <w:r>
        <w:rPr>
          <w:sz w:val="24"/>
          <w:szCs w:val="24"/>
        </w:rPr>
        <w:t xml:space="preserve">il criterio da utilizzare </w:t>
      </w:r>
      <w:r w:rsidR="00742B7C">
        <w:rPr>
          <w:sz w:val="24"/>
          <w:szCs w:val="24"/>
        </w:rPr>
        <w:t xml:space="preserve">in quei settori di erogazione dove </w:t>
      </w:r>
      <w:r w:rsidR="000C46DD">
        <w:rPr>
          <w:sz w:val="24"/>
          <w:szCs w:val="24"/>
        </w:rPr>
        <w:t>è</w:t>
      </w:r>
      <w:r w:rsidRPr="00675FFB">
        <w:rPr>
          <w:sz w:val="24"/>
          <w:szCs w:val="24"/>
        </w:rPr>
        <w:t xml:space="preserve"> prevista una netta separazione tra i soggetti titolari delle infrastrutture e i soggetti titolari del contratto di vendita del bene distribuito alla clientela finale. In questi casi il pagamento del canone </w:t>
      </w:r>
      <w:r w:rsidRPr="004733E6">
        <w:rPr>
          <w:sz w:val="24"/>
          <w:szCs w:val="24"/>
        </w:rPr>
        <w:t>deve avvenire a cura della società titolare della rete (che non</w:t>
      </w:r>
      <w:r w:rsidRPr="00675FFB">
        <w:rPr>
          <w:sz w:val="24"/>
          <w:szCs w:val="24"/>
        </w:rPr>
        <w:t xml:space="preserve"> può avere utenti finali), calcolando il dovuto sulla base delle utenze servite dalle aziende che distribuiscono il servizio.</w:t>
      </w:r>
      <w:r w:rsidR="00742B7C">
        <w:rPr>
          <w:sz w:val="24"/>
          <w:szCs w:val="24"/>
        </w:rPr>
        <w:t xml:space="preserve"> </w:t>
      </w:r>
    </w:p>
    <w:p w14:paraId="64A19F65" w14:textId="77777777" w:rsidR="000315E1" w:rsidRDefault="00742B7C" w:rsidP="004733E6">
      <w:pPr>
        <w:numPr>
          <w:ilvl w:val="0"/>
          <w:numId w:val="2"/>
        </w:numPr>
        <w:jc w:val="both"/>
        <w:rPr>
          <w:sz w:val="24"/>
          <w:szCs w:val="24"/>
        </w:rPr>
      </w:pPr>
      <w:r>
        <w:rPr>
          <w:sz w:val="24"/>
          <w:szCs w:val="24"/>
        </w:rPr>
        <w:t>Quali sono i settori interessati</w:t>
      </w:r>
      <w:r w:rsidR="0026116A">
        <w:rPr>
          <w:sz w:val="24"/>
          <w:szCs w:val="24"/>
        </w:rPr>
        <w:t xml:space="preserve"> dal criterio dettato dalla norma di interpretazione autentica</w:t>
      </w:r>
      <w:r>
        <w:rPr>
          <w:sz w:val="24"/>
          <w:szCs w:val="24"/>
        </w:rPr>
        <w:t xml:space="preserve">? </w:t>
      </w:r>
    </w:p>
    <w:p w14:paraId="1CEBD488" w14:textId="6A6CA277" w:rsidR="0026116A" w:rsidRDefault="00742B7C" w:rsidP="004733E6">
      <w:pPr>
        <w:numPr>
          <w:ilvl w:val="0"/>
          <w:numId w:val="2"/>
        </w:numPr>
        <w:jc w:val="both"/>
        <w:rPr>
          <w:sz w:val="24"/>
          <w:szCs w:val="24"/>
        </w:rPr>
      </w:pPr>
      <w:r>
        <w:rPr>
          <w:sz w:val="24"/>
          <w:szCs w:val="24"/>
        </w:rPr>
        <w:t>Certamente quello</w:t>
      </w:r>
      <w:r w:rsidRPr="004733E6">
        <w:rPr>
          <w:sz w:val="24"/>
          <w:szCs w:val="24"/>
        </w:rPr>
        <w:t xml:space="preserve"> del Gas e dell’</w:t>
      </w:r>
      <w:r>
        <w:rPr>
          <w:sz w:val="24"/>
          <w:szCs w:val="24"/>
        </w:rPr>
        <w:t>E</w:t>
      </w:r>
      <w:r w:rsidRPr="004733E6">
        <w:rPr>
          <w:sz w:val="24"/>
          <w:szCs w:val="24"/>
        </w:rPr>
        <w:t>nergia Elettrica</w:t>
      </w:r>
      <w:r>
        <w:rPr>
          <w:sz w:val="24"/>
          <w:szCs w:val="24"/>
        </w:rPr>
        <w:t xml:space="preserve"> dove la separazione delle attività è disposta per Legge.</w:t>
      </w:r>
      <w:r w:rsidR="005308F1">
        <w:rPr>
          <w:sz w:val="24"/>
          <w:szCs w:val="24"/>
        </w:rPr>
        <w:t xml:space="preserve"> In questi ambiti l</w:t>
      </w:r>
      <w:r w:rsidR="0026116A">
        <w:rPr>
          <w:sz w:val="24"/>
          <w:szCs w:val="24"/>
        </w:rPr>
        <w:t>a società che distribuisce i servizi non p</w:t>
      </w:r>
      <w:r w:rsidR="005308F1">
        <w:rPr>
          <w:sz w:val="24"/>
          <w:szCs w:val="24"/>
        </w:rPr>
        <w:t>otrà in nessun caso</w:t>
      </w:r>
      <w:r w:rsidR="0026116A">
        <w:rPr>
          <w:sz w:val="24"/>
          <w:szCs w:val="24"/>
        </w:rPr>
        <w:t xml:space="preserve"> venderlo all’utente finale. La separazione è netta e definita ai sensi di legge.</w:t>
      </w:r>
    </w:p>
    <w:p w14:paraId="1740B96D" w14:textId="77777777" w:rsidR="000315E1" w:rsidRDefault="00742B7C" w:rsidP="004733E6">
      <w:pPr>
        <w:numPr>
          <w:ilvl w:val="0"/>
          <w:numId w:val="2"/>
        </w:numPr>
        <w:jc w:val="both"/>
        <w:rPr>
          <w:sz w:val="24"/>
          <w:szCs w:val="24"/>
        </w:rPr>
      </w:pPr>
      <w:r>
        <w:rPr>
          <w:sz w:val="24"/>
          <w:szCs w:val="24"/>
        </w:rPr>
        <w:t>Può rientrare in questo criterio</w:t>
      </w:r>
      <w:r w:rsidR="00300E2E">
        <w:rPr>
          <w:sz w:val="24"/>
          <w:szCs w:val="24"/>
        </w:rPr>
        <w:t xml:space="preserve"> di calcolo</w:t>
      </w:r>
      <w:r w:rsidR="0026116A">
        <w:rPr>
          <w:sz w:val="24"/>
          <w:szCs w:val="24"/>
        </w:rPr>
        <w:t xml:space="preserve"> anche</w:t>
      </w:r>
      <w:r>
        <w:rPr>
          <w:sz w:val="24"/>
          <w:szCs w:val="24"/>
        </w:rPr>
        <w:t xml:space="preserve"> il settore delle Telecomunicazioni? </w:t>
      </w:r>
    </w:p>
    <w:p w14:paraId="063A4C09" w14:textId="276CE2AC" w:rsidR="004733E6" w:rsidRDefault="00300E2E" w:rsidP="004733E6">
      <w:pPr>
        <w:numPr>
          <w:ilvl w:val="0"/>
          <w:numId w:val="2"/>
        </w:numPr>
        <w:jc w:val="both"/>
        <w:rPr>
          <w:sz w:val="24"/>
          <w:szCs w:val="24"/>
        </w:rPr>
      </w:pPr>
      <w:r>
        <w:rPr>
          <w:sz w:val="24"/>
          <w:szCs w:val="24"/>
        </w:rPr>
        <w:t xml:space="preserve">La risposta non può che essere negativa. Le reti </w:t>
      </w:r>
      <w:r w:rsidR="00D873B2">
        <w:rPr>
          <w:sz w:val="24"/>
          <w:szCs w:val="24"/>
        </w:rPr>
        <w:t>voce</w:t>
      </w:r>
      <w:r>
        <w:rPr>
          <w:sz w:val="24"/>
          <w:szCs w:val="24"/>
        </w:rPr>
        <w:t xml:space="preserve"> e internet </w:t>
      </w:r>
      <w:r w:rsidR="0026116A">
        <w:rPr>
          <w:sz w:val="24"/>
          <w:szCs w:val="24"/>
        </w:rPr>
        <w:t xml:space="preserve">che attraversano il nostro </w:t>
      </w:r>
      <w:r>
        <w:rPr>
          <w:sz w:val="24"/>
          <w:szCs w:val="24"/>
        </w:rPr>
        <w:t>Paese sono caratterizzate da una condivisione tra diversi competitor del settore</w:t>
      </w:r>
      <w:r w:rsidR="005308F1">
        <w:rPr>
          <w:sz w:val="24"/>
          <w:szCs w:val="24"/>
        </w:rPr>
        <w:t>.</w:t>
      </w:r>
      <w:r>
        <w:rPr>
          <w:sz w:val="24"/>
          <w:szCs w:val="24"/>
        </w:rPr>
        <w:t xml:space="preserve"> </w:t>
      </w:r>
      <w:r w:rsidR="005308F1">
        <w:rPr>
          <w:sz w:val="24"/>
          <w:szCs w:val="24"/>
        </w:rPr>
        <w:t>C</w:t>
      </w:r>
      <w:r>
        <w:rPr>
          <w:sz w:val="24"/>
          <w:szCs w:val="24"/>
        </w:rPr>
        <w:t xml:space="preserve">hi distribuisce non è </w:t>
      </w:r>
      <w:r w:rsidR="0026116A">
        <w:rPr>
          <w:sz w:val="24"/>
          <w:szCs w:val="24"/>
        </w:rPr>
        <w:t xml:space="preserve">formalmente </w:t>
      </w:r>
      <w:r>
        <w:rPr>
          <w:sz w:val="24"/>
          <w:szCs w:val="24"/>
        </w:rPr>
        <w:t xml:space="preserve">impedito nell’attività di vendita, così che lo stesso concessionario dell’infrastruttura </w:t>
      </w:r>
      <w:r w:rsidR="005308F1">
        <w:rPr>
          <w:sz w:val="24"/>
          <w:szCs w:val="24"/>
        </w:rPr>
        <w:t>potrà</w:t>
      </w:r>
      <w:r>
        <w:rPr>
          <w:sz w:val="24"/>
          <w:szCs w:val="24"/>
        </w:rPr>
        <w:t xml:space="preserve"> competere </w:t>
      </w:r>
      <w:r w:rsidR="0026116A">
        <w:rPr>
          <w:sz w:val="24"/>
          <w:szCs w:val="24"/>
        </w:rPr>
        <w:t xml:space="preserve">con le altre aziende nella commercializzazione all’utente finale dei prodotti. Non esiste separazione </w:t>
      </w:r>
      <w:r w:rsidR="005308F1">
        <w:rPr>
          <w:sz w:val="24"/>
          <w:szCs w:val="24"/>
        </w:rPr>
        <w:t>né</w:t>
      </w:r>
      <w:r w:rsidR="0026116A">
        <w:rPr>
          <w:sz w:val="24"/>
          <w:szCs w:val="24"/>
        </w:rPr>
        <w:t xml:space="preserve"> in base alla norma, </w:t>
      </w:r>
      <w:r w:rsidR="005308F1">
        <w:rPr>
          <w:sz w:val="24"/>
          <w:szCs w:val="24"/>
        </w:rPr>
        <w:t>né</w:t>
      </w:r>
      <w:r w:rsidR="0026116A">
        <w:rPr>
          <w:sz w:val="24"/>
          <w:szCs w:val="24"/>
        </w:rPr>
        <w:t xml:space="preserve"> in base agli accordi contrattuali</w:t>
      </w:r>
      <w:r w:rsidR="005308F1">
        <w:rPr>
          <w:sz w:val="24"/>
          <w:szCs w:val="24"/>
        </w:rPr>
        <w:t xml:space="preserve"> tra le diverse Corporate</w:t>
      </w:r>
      <w:r w:rsidR="0026116A">
        <w:rPr>
          <w:sz w:val="24"/>
          <w:szCs w:val="24"/>
        </w:rPr>
        <w:t xml:space="preserve">, che mai impongono quella separazione richiesta dalla norma di interpretazione autentica. </w:t>
      </w:r>
    </w:p>
    <w:p w14:paraId="730BAE9D" w14:textId="29165561" w:rsidR="0026116A" w:rsidRPr="00675FFB" w:rsidRDefault="0026116A" w:rsidP="004733E6">
      <w:pPr>
        <w:numPr>
          <w:ilvl w:val="0"/>
          <w:numId w:val="2"/>
        </w:numPr>
        <w:jc w:val="both"/>
        <w:rPr>
          <w:sz w:val="24"/>
          <w:szCs w:val="24"/>
        </w:rPr>
      </w:pPr>
      <w:r>
        <w:rPr>
          <w:sz w:val="24"/>
          <w:szCs w:val="24"/>
        </w:rPr>
        <w:lastRenderedPageBreak/>
        <w:t xml:space="preserve">Dichiarare </w:t>
      </w:r>
      <w:r w:rsidR="006C22BA">
        <w:rPr>
          <w:sz w:val="24"/>
          <w:szCs w:val="24"/>
        </w:rPr>
        <w:t xml:space="preserve">quindi </w:t>
      </w:r>
      <w:r>
        <w:rPr>
          <w:sz w:val="24"/>
          <w:szCs w:val="24"/>
        </w:rPr>
        <w:t xml:space="preserve">che nel settore delle telecomunicazioni </w:t>
      </w:r>
      <w:r w:rsidR="006C22BA">
        <w:rPr>
          <w:sz w:val="24"/>
          <w:szCs w:val="24"/>
        </w:rPr>
        <w:t>sia vigente</w:t>
      </w:r>
      <w:r>
        <w:rPr>
          <w:sz w:val="24"/>
          <w:szCs w:val="24"/>
        </w:rPr>
        <w:t xml:space="preserve"> la separazione tra l’attività di distribuzione con l’attività di vendita è quanto di più lontano dalla realtà possa esistere, al punto da considerare questa affermazione come tentativo elusivo d</w:t>
      </w:r>
      <w:r w:rsidR="006C22BA">
        <w:rPr>
          <w:sz w:val="24"/>
          <w:szCs w:val="24"/>
        </w:rPr>
        <w:t>a</w:t>
      </w:r>
      <w:r>
        <w:rPr>
          <w:sz w:val="24"/>
          <w:szCs w:val="24"/>
        </w:rPr>
        <w:t xml:space="preserve">l </w:t>
      </w:r>
      <w:r w:rsidR="006C22BA">
        <w:rPr>
          <w:sz w:val="24"/>
          <w:szCs w:val="24"/>
        </w:rPr>
        <w:t xml:space="preserve">pagamento del </w:t>
      </w:r>
      <w:r>
        <w:rPr>
          <w:sz w:val="24"/>
          <w:szCs w:val="24"/>
        </w:rPr>
        <w:t>canone.</w:t>
      </w:r>
    </w:p>
    <w:p w14:paraId="6C7499AD" w14:textId="7B0CB06C" w:rsidR="00D23E80" w:rsidRDefault="0026116A" w:rsidP="00141472">
      <w:pPr>
        <w:jc w:val="both"/>
        <w:rPr>
          <w:sz w:val="24"/>
          <w:szCs w:val="24"/>
        </w:rPr>
      </w:pPr>
      <w:r>
        <w:rPr>
          <w:sz w:val="24"/>
          <w:szCs w:val="24"/>
        </w:rPr>
        <w:t xml:space="preserve">Sul tema la giurisprudenza </w:t>
      </w:r>
      <w:r w:rsidR="000315E1">
        <w:rPr>
          <w:sz w:val="24"/>
          <w:szCs w:val="24"/>
        </w:rPr>
        <w:t xml:space="preserve">in questi anni </w:t>
      </w:r>
      <w:r w:rsidR="006C22BA">
        <w:rPr>
          <w:sz w:val="24"/>
          <w:szCs w:val="24"/>
        </w:rPr>
        <w:t xml:space="preserve">si è espressa in maniera </w:t>
      </w:r>
      <w:r>
        <w:rPr>
          <w:sz w:val="24"/>
          <w:szCs w:val="24"/>
        </w:rPr>
        <w:t xml:space="preserve">nettamente prevalente nel ritenere come nel settore delle telecomunicazioni debba valere il principio della soggettività passiva in via mediata. Tra le tante sentenze orientate ci piace richiamare quella del </w:t>
      </w:r>
      <w:r w:rsidR="001F3D7C">
        <w:rPr>
          <w:sz w:val="24"/>
          <w:szCs w:val="24"/>
        </w:rPr>
        <w:t>T</w:t>
      </w:r>
      <w:r>
        <w:rPr>
          <w:sz w:val="24"/>
          <w:szCs w:val="24"/>
        </w:rPr>
        <w:t>ribunale di Piacenza che rispetto a molte altre ha il pregio di essere sintetica, chiara e puntuale.</w:t>
      </w:r>
    </w:p>
    <w:p w14:paraId="198CAAB9" w14:textId="62560A28" w:rsidR="001F3D7C" w:rsidRDefault="001F3D7C" w:rsidP="00141472">
      <w:pPr>
        <w:jc w:val="both"/>
        <w:rPr>
          <w:sz w:val="24"/>
          <w:szCs w:val="24"/>
        </w:rPr>
      </w:pPr>
      <w:r>
        <w:rPr>
          <w:sz w:val="24"/>
          <w:szCs w:val="24"/>
        </w:rPr>
        <w:t>Nella sentenza</w:t>
      </w:r>
      <w:r w:rsidR="000315E1">
        <w:rPr>
          <w:sz w:val="24"/>
          <w:szCs w:val="24"/>
        </w:rPr>
        <w:t>, sviluppata per punti,</w:t>
      </w:r>
      <w:r>
        <w:rPr>
          <w:sz w:val="24"/>
          <w:szCs w:val="24"/>
        </w:rPr>
        <w:t xml:space="preserve"> si legge:</w:t>
      </w:r>
    </w:p>
    <w:p w14:paraId="211FF36A" w14:textId="3D173D5A" w:rsidR="001F3D7C" w:rsidRPr="001F3D7C" w:rsidRDefault="001F3D7C" w:rsidP="001F3D7C">
      <w:pPr>
        <w:jc w:val="both"/>
        <w:rPr>
          <w:i/>
          <w:iCs/>
          <w:sz w:val="24"/>
          <w:szCs w:val="24"/>
        </w:rPr>
      </w:pPr>
      <w:r>
        <w:rPr>
          <w:sz w:val="24"/>
          <w:szCs w:val="24"/>
        </w:rPr>
        <w:t>“</w:t>
      </w:r>
      <w:r w:rsidRPr="001F3D7C">
        <w:rPr>
          <w:i/>
          <w:iCs/>
          <w:sz w:val="24"/>
          <w:szCs w:val="24"/>
        </w:rPr>
        <w:t>La norma che ha introdotto la c.d. soggettività passiva mediata, letta alla luce dell’intervento di interpretazione autentica, va intesa nel senso che l’esclusione dalla debenza del canone non è generalizzata ma esclusivamente dedicata a quei settori in cui è prevista una separazione fra i titolari delle infrastrutture ed i titolari del contratto di vendita del bene distribuito alla clientela finale, previsione riferibile a quei settori- come quelli del gas e dell’energia elettrica- in cui la normativa di riferimento impone una netta separazione tra l’attività di distribuzione e quella di vendita, lasciando per il resto inalterata l’originaria previsione</w:t>
      </w:r>
      <w:r>
        <w:rPr>
          <w:i/>
          <w:iCs/>
          <w:sz w:val="24"/>
          <w:szCs w:val="24"/>
        </w:rPr>
        <w:t>.</w:t>
      </w:r>
    </w:p>
    <w:p w14:paraId="306A8B98" w14:textId="3F998D8C" w:rsidR="001F3D7C" w:rsidRPr="001F3D7C" w:rsidRDefault="001F3D7C" w:rsidP="001F3D7C">
      <w:pPr>
        <w:jc w:val="both"/>
        <w:rPr>
          <w:i/>
          <w:iCs/>
          <w:sz w:val="24"/>
          <w:szCs w:val="24"/>
        </w:rPr>
      </w:pPr>
      <w:r w:rsidRPr="001F3D7C">
        <w:rPr>
          <w:i/>
          <w:iCs/>
          <w:sz w:val="24"/>
          <w:szCs w:val="24"/>
        </w:rPr>
        <w:t>Diversamente argomentando, infatti, non si capirebbe la ragione per cui il legislatore abbia inteso mantenere in vigore la previsione introdotta dalla L.n.178/2020,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w:t>
      </w:r>
    </w:p>
    <w:p w14:paraId="027A260E" w14:textId="77777777" w:rsidR="001F3D7C" w:rsidRPr="001F3D7C" w:rsidRDefault="001F3D7C" w:rsidP="001F3D7C">
      <w:pPr>
        <w:jc w:val="both"/>
        <w:rPr>
          <w:i/>
          <w:iCs/>
          <w:sz w:val="24"/>
          <w:szCs w:val="24"/>
        </w:rPr>
      </w:pPr>
      <w:r w:rsidRPr="001F3D7C">
        <w:rPr>
          <w:i/>
          <w:iCs/>
          <w:sz w:val="24"/>
          <w:szCs w:val="24"/>
        </w:rPr>
        <w:t>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p>
    <w:p w14:paraId="1D94E2E9" w14:textId="77777777" w:rsidR="001F3D7C" w:rsidRPr="001F3D7C" w:rsidRDefault="001F3D7C" w:rsidP="001F3D7C">
      <w:pPr>
        <w:jc w:val="both"/>
        <w:rPr>
          <w:i/>
          <w:iCs/>
          <w:sz w:val="24"/>
          <w:szCs w:val="24"/>
        </w:rPr>
      </w:pPr>
      <w:r w:rsidRPr="001F3D7C">
        <w:rPr>
          <w:i/>
          <w:iCs/>
          <w:sz w:val="24"/>
          <w:szCs w:val="24"/>
        </w:rPr>
        <w:t>Per il servizio di telefonia, come quello in esame, l’operatore telefonico non si limita alla mera commercializzazione del servizio ma fa uso, seppur mediato, della rete infrastrutturale di T. collegandovisi mediante i sistemi descritti nell’atto di citazione (cfr. pagg. 8,9 dove è descritto il tipo di connessione e le modalità di accesso alla rete come distribuzione BITSTREAM NGA e L’Operatore (V.) “affitta” l’intera tratta che va dal PDI alle abitazioni dei clienti, indipendentemente dall’architettura posta “a valle” della centrale (FTTC).. sia nel caso di FTTC che di FTTH la fibra ottica trasporta il traffico di tutti gli operatori, separato tramite l’uso delle VLAN (Virtual LAN).)</w:t>
      </w:r>
    </w:p>
    <w:p w14:paraId="500449C3" w14:textId="577F39DD" w:rsidR="001F3D7C" w:rsidRPr="001F3D7C" w:rsidRDefault="001F3D7C" w:rsidP="001F3D7C">
      <w:pPr>
        <w:jc w:val="both"/>
        <w:rPr>
          <w:i/>
          <w:iCs/>
          <w:sz w:val="24"/>
          <w:szCs w:val="24"/>
        </w:rPr>
      </w:pPr>
      <w:r w:rsidRPr="001F3D7C">
        <w:rPr>
          <w:i/>
          <w:iCs/>
          <w:sz w:val="24"/>
          <w:szCs w:val="24"/>
        </w:rPr>
        <w:t>Peraltro nel criterio di materialità dell’uso dell’infrastruttura altrui deve intendersi incluso anche quello con modalità virtuale considerata l’evoluzione tecnologica nel campo della telefonia.</w:t>
      </w:r>
      <w:r>
        <w:rPr>
          <w:i/>
          <w:iCs/>
          <w:sz w:val="24"/>
          <w:szCs w:val="24"/>
        </w:rPr>
        <w:t>”</w:t>
      </w:r>
      <w:r w:rsidRPr="001F3D7C">
        <w:rPr>
          <w:i/>
          <w:iCs/>
          <w:sz w:val="24"/>
          <w:szCs w:val="24"/>
        </w:rPr>
        <w:t xml:space="preserve"> </w:t>
      </w:r>
    </w:p>
    <w:p w14:paraId="155ECD3C" w14:textId="7F21EBCB" w:rsidR="00141472" w:rsidRPr="00AC517F" w:rsidRDefault="001F3D7C" w:rsidP="00141472">
      <w:pPr>
        <w:jc w:val="both"/>
        <w:rPr>
          <w:sz w:val="24"/>
          <w:szCs w:val="24"/>
        </w:rPr>
      </w:pPr>
      <w:r>
        <w:rPr>
          <w:sz w:val="24"/>
          <w:szCs w:val="24"/>
        </w:rPr>
        <w:t>Come detto la giurisprudenza si è orientata verso questa interpretazione della norma, d</w:t>
      </w:r>
      <w:r w:rsidR="00A304A9">
        <w:rPr>
          <w:sz w:val="24"/>
          <w:szCs w:val="24"/>
        </w:rPr>
        <w:t xml:space="preserve">i segno opposto </w:t>
      </w:r>
      <w:r w:rsidR="000315E1">
        <w:rPr>
          <w:sz w:val="24"/>
          <w:szCs w:val="24"/>
        </w:rPr>
        <w:t>registriamo ben</w:t>
      </w:r>
      <w:r>
        <w:rPr>
          <w:sz w:val="24"/>
          <w:szCs w:val="24"/>
        </w:rPr>
        <w:t xml:space="preserve"> poche sentenza tra le quali </w:t>
      </w:r>
      <w:r w:rsidR="000315E1">
        <w:rPr>
          <w:sz w:val="24"/>
          <w:szCs w:val="24"/>
        </w:rPr>
        <w:t xml:space="preserve">spicca </w:t>
      </w:r>
      <w:r>
        <w:rPr>
          <w:sz w:val="24"/>
          <w:szCs w:val="24"/>
        </w:rPr>
        <w:t xml:space="preserve">quella emessa dalla </w:t>
      </w:r>
      <w:r w:rsidR="00141472" w:rsidRPr="00AC517F">
        <w:rPr>
          <w:sz w:val="24"/>
          <w:szCs w:val="24"/>
        </w:rPr>
        <w:t>Corte d’</w:t>
      </w:r>
      <w:r>
        <w:rPr>
          <w:sz w:val="24"/>
          <w:szCs w:val="24"/>
        </w:rPr>
        <w:t>A</w:t>
      </w:r>
      <w:r w:rsidR="00141472" w:rsidRPr="00AC517F">
        <w:rPr>
          <w:sz w:val="24"/>
          <w:szCs w:val="24"/>
        </w:rPr>
        <w:t>ppello di Venezia</w:t>
      </w:r>
      <w:r w:rsidR="00A304A9">
        <w:rPr>
          <w:sz w:val="24"/>
          <w:szCs w:val="24"/>
        </w:rPr>
        <w:t xml:space="preserve"> </w:t>
      </w:r>
      <w:r w:rsidR="000315E1">
        <w:rPr>
          <w:sz w:val="24"/>
          <w:szCs w:val="24"/>
        </w:rPr>
        <w:t>dove tuttavia</w:t>
      </w:r>
      <w:r w:rsidR="00141472" w:rsidRPr="00AC517F">
        <w:rPr>
          <w:sz w:val="24"/>
          <w:szCs w:val="24"/>
        </w:rPr>
        <w:t xml:space="preserve"> è evidente come i giudici abbiano erroneamente attribuito un significato diverso al concetto di separazione tra le attività di distribuzione e vendita, ritenendo che il contratto che lega</w:t>
      </w:r>
      <w:r w:rsidR="000315E1">
        <w:rPr>
          <w:sz w:val="24"/>
          <w:szCs w:val="24"/>
        </w:rPr>
        <w:t xml:space="preserve">va </w:t>
      </w:r>
      <w:r w:rsidR="00141472" w:rsidRPr="00AC517F">
        <w:rPr>
          <w:sz w:val="24"/>
          <w:szCs w:val="24"/>
        </w:rPr>
        <w:t xml:space="preserve">l’allora titolare della rete e </w:t>
      </w:r>
      <w:r w:rsidR="000315E1">
        <w:rPr>
          <w:sz w:val="24"/>
          <w:szCs w:val="24"/>
        </w:rPr>
        <w:t>una primaria compagnia</w:t>
      </w:r>
      <w:r w:rsidR="00141472" w:rsidRPr="00AC517F">
        <w:rPr>
          <w:sz w:val="24"/>
          <w:szCs w:val="24"/>
        </w:rPr>
        <w:t xml:space="preserve"> fosse sufficiente a caratterizzare la separazione delle attività. In realtà </w:t>
      </w:r>
      <w:r w:rsidR="000315E1">
        <w:rPr>
          <w:sz w:val="24"/>
          <w:szCs w:val="24"/>
        </w:rPr>
        <w:t xml:space="preserve">come abbiamo visto </w:t>
      </w:r>
      <w:r w:rsidR="00141472" w:rsidRPr="00AC517F">
        <w:rPr>
          <w:sz w:val="24"/>
          <w:szCs w:val="24"/>
        </w:rPr>
        <w:t xml:space="preserve">nel settore delle telecomunicazioni non esiste questa separazione. Ogni compagnia agisce sul mercato libero e la stessa </w:t>
      </w:r>
      <w:r w:rsidR="000315E1">
        <w:rPr>
          <w:sz w:val="24"/>
          <w:szCs w:val="24"/>
        </w:rPr>
        <w:t>compagnia</w:t>
      </w:r>
      <w:r w:rsidR="00141472" w:rsidRPr="00AC517F">
        <w:rPr>
          <w:sz w:val="24"/>
          <w:szCs w:val="24"/>
        </w:rPr>
        <w:t xml:space="preserve">, </w:t>
      </w:r>
      <w:r w:rsidR="000315E1">
        <w:rPr>
          <w:sz w:val="24"/>
          <w:szCs w:val="24"/>
        </w:rPr>
        <w:t xml:space="preserve">in allora </w:t>
      </w:r>
      <w:r w:rsidR="00141472" w:rsidRPr="00AC517F">
        <w:rPr>
          <w:sz w:val="24"/>
          <w:szCs w:val="24"/>
        </w:rPr>
        <w:lastRenderedPageBreak/>
        <w:t xml:space="preserve">titolare della concessione, è contemporaneamente società che distribuisce e competitor del servizio all’utente finale. </w:t>
      </w:r>
    </w:p>
    <w:p w14:paraId="70F43BCE" w14:textId="74B80045" w:rsidR="00141472" w:rsidRPr="00AC517F" w:rsidRDefault="00141472" w:rsidP="00141472">
      <w:pPr>
        <w:jc w:val="both"/>
        <w:rPr>
          <w:sz w:val="24"/>
          <w:szCs w:val="24"/>
        </w:rPr>
      </w:pPr>
      <w:r w:rsidRPr="00AC517F">
        <w:rPr>
          <w:sz w:val="24"/>
          <w:szCs w:val="24"/>
        </w:rPr>
        <w:t xml:space="preserve">Per questo il settore della telefonia si distingue nettamente da quello del Gas e dell’Energia Elettrica, non tanto per la natura della separazione (per contratto e non per Legge) ma per l’utilizzo mediato e condiviso che avviene dell’infrastruttura telefonica, dove, lo ribadiamo, il concessionario può essere sia distributore che operatore di vendita. Anche nel contratto </w:t>
      </w:r>
      <w:r w:rsidR="0044414E">
        <w:rPr>
          <w:sz w:val="24"/>
          <w:szCs w:val="24"/>
        </w:rPr>
        <w:t>di utilizzo della rete</w:t>
      </w:r>
      <w:r w:rsidRPr="00AC517F">
        <w:rPr>
          <w:sz w:val="24"/>
          <w:szCs w:val="24"/>
        </w:rPr>
        <w:t xml:space="preserve"> non vengono in nessun modo separate le due attività, lasciando operare le diverse compagnie che sfruttano l’infrastruttura nel libero mercato. </w:t>
      </w:r>
    </w:p>
    <w:p w14:paraId="64A732D6" w14:textId="77777777" w:rsidR="00141472" w:rsidRPr="00AC517F" w:rsidRDefault="00141472" w:rsidP="00141472">
      <w:pPr>
        <w:jc w:val="both"/>
        <w:rPr>
          <w:i/>
          <w:iCs/>
          <w:sz w:val="24"/>
          <w:szCs w:val="24"/>
        </w:rPr>
      </w:pPr>
      <w:r w:rsidRPr="00AC517F">
        <w:rPr>
          <w:sz w:val="24"/>
          <w:szCs w:val="24"/>
        </w:rPr>
        <w:t>Male quindi interpretano i giudici della Corte d’Appello di Venezia quando scrivono: “</w:t>
      </w:r>
      <w:r w:rsidRPr="00AC517F">
        <w:rPr>
          <w:i/>
          <w:iCs/>
          <w:sz w:val="24"/>
          <w:szCs w:val="24"/>
        </w:rPr>
        <w:t>Tuttavia, nel settore delle telecomunicazioni la separazione tra titolare delle infrastrutture e titolari dei contratti di vendita può venire stabilita dagli operatori in via contrattuale, come accaduto nel caso in esame. Non è pertanto condivisibile quanto sostenuto dall’appellante, secondo il quale detta norma di interpretazione autentica sarebbe da riferire esclusivamente alle società che operano nel mercato dell’energia elettrica e del gas naturale, potendo estendersi anche al settore delle telecomunicazioni quando prevista in via contrattuale.”</w:t>
      </w:r>
    </w:p>
    <w:p w14:paraId="7D56363F" w14:textId="73A978FB" w:rsidR="00141472" w:rsidRDefault="00141472" w:rsidP="00141472">
      <w:pPr>
        <w:jc w:val="both"/>
        <w:rPr>
          <w:sz w:val="24"/>
          <w:szCs w:val="24"/>
        </w:rPr>
      </w:pPr>
      <w:r w:rsidRPr="00AC517F">
        <w:rPr>
          <w:sz w:val="24"/>
          <w:szCs w:val="24"/>
        </w:rPr>
        <w:t xml:space="preserve">Il rapporto contrattuale tra </w:t>
      </w:r>
      <w:r w:rsidR="0044414E">
        <w:rPr>
          <w:sz w:val="24"/>
          <w:szCs w:val="24"/>
        </w:rPr>
        <w:t>concessionario e compagnia telefonica</w:t>
      </w:r>
      <w:r w:rsidRPr="00AC517F">
        <w:rPr>
          <w:sz w:val="24"/>
          <w:szCs w:val="24"/>
        </w:rPr>
        <w:t xml:space="preserve"> non crea quella separazione tra le attività di distribuzione e vendita del servizio necessaria per attivare il meccanismo di calcolo voluto dalla norma di interpretazione autentica, ma rappresenta semplicemente un accordo tra imprese, peraltro sostenuto dalle indicazioni delle Direttive </w:t>
      </w:r>
      <w:r w:rsidR="0044414E">
        <w:rPr>
          <w:sz w:val="24"/>
          <w:szCs w:val="24"/>
        </w:rPr>
        <w:t>E</w:t>
      </w:r>
      <w:r w:rsidRPr="00AC517F">
        <w:rPr>
          <w:sz w:val="24"/>
          <w:szCs w:val="24"/>
        </w:rPr>
        <w:t>uropee e dalla legislazione italiana in materia di condivisione delle reti telefoniche, che permette sostanzialmente a</w:t>
      </w:r>
      <w:r w:rsidR="0044414E">
        <w:rPr>
          <w:sz w:val="24"/>
          <w:szCs w:val="24"/>
        </w:rPr>
        <w:t>i diversi competitors</w:t>
      </w:r>
      <w:r w:rsidRPr="00AC517F">
        <w:rPr>
          <w:sz w:val="24"/>
          <w:szCs w:val="24"/>
        </w:rPr>
        <w:t>,  di utilizzare in via mediata (anche in modalità virtuale) le infrastrutture del concessionario. Ecco che nessuna separazione per via contrattuale viene disposta con il contratto, che piuttosto regola quella condivisione dell’infrastruttura che porta a motivare l’utilizzo del criterio di calcolo voluto dal Legislatore al comma 831 con l’introduzione della soggettività passiva in via mediata.</w:t>
      </w:r>
    </w:p>
    <w:p w14:paraId="51F97385" w14:textId="6B0917F9" w:rsidR="000315E1" w:rsidRPr="000315E1" w:rsidRDefault="000315E1" w:rsidP="000315E1">
      <w:pPr>
        <w:jc w:val="both"/>
        <w:rPr>
          <w:sz w:val="24"/>
          <w:szCs w:val="24"/>
        </w:rPr>
      </w:pPr>
      <w:r>
        <w:rPr>
          <w:sz w:val="24"/>
          <w:szCs w:val="24"/>
        </w:rPr>
        <w:t xml:space="preserve">A sostenere questa posizione, oggi troviamo anche l’attuale società proprietaria dell’infrastruttura. FiberCop, </w:t>
      </w:r>
      <w:r w:rsidRPr="000315E1">
        <w:rPr>
          <w:sz w:val="24"/>
          <w:szCs w:val="24"/>
        </w:rPr>
        <w:t>che a partire dal luglio 2024 gestisce l’infrastruttura telefonica</w:t>
      </w:r>
      <w:r>
        <w:rPr>
          <w:sz w:val="24"/>
          <w:szCs w:val="24"/>
        </w:rPr>
        <w:t xml:space="preserve">, </w:t>
      </w:r>
      <w:r w:rsidRPr="000315E1">
        <w:rPr>
          <w:sz w:val="24"/>
          <w:szCs w:val="24"/>
        </w:rPr>
        <w:t xml:space="preserve">si definisce </w:t>
      </w:r>
      <w:r w:rsidRPr="000315E1">
        <w:rPr>
          <w:i/>
          <w:iCs/>
          <w:sz w:val="24"/>
          <w:szCs w:val="24"/>
        </w:rPr>
        <w:t>Wholesale Only</w:t>
      </w:r>
      <w:r w:rsidRPr="000315E1">
        <w:rPr>
          <w:sz w:val="24"/>
          <w:szCs w:val="24"/>
        </w:rPr>
        <w:t xml:space="preserve"> (senza utenze), che svolge un’attività – la messa a disposizione della rete di comunicazioni elettroniche – strumentale all’erogazione del servizio pubblico di telecomunicazioni fornito dai singoli operatori. </w:t>
      </w:r>
    </w:p>
    <w:p w14:paraId="214E8A25" w14:textId="0A5FFBDF" w:rsidR="000315E1" w:rsidRDefault="000315E1" w:rsidP="000315E1">
      <w:pPr>
        <w:jc w:val="both"/>
        <w:rPr>
          <w:sz w:val="24"/>
          <w:szCs w:val="24"/>
        </w:rPr>
      </w:pPr>
      <w:r w:rsidRPr="000315E1">
        <w:rPr>
          <w:sz w:val="24"/>
          <w:szCs w:val="24"/>
        </w:rPr>
        <w:t>Scrive la società in risposta a un Ente locale che le contestava il mancato pagamento sulla base delle utenze attive, che sono i singoli operatori che devono versare</w:t>
      </w:r>
      <w:r w:rsidR="0044414E">
        <w:rPr>
          <w:sz w:val="24"/>
          <w:szCs w:val="24"/>
        </w:rPr>
        <w:t xml:space="preserve"> il Canone Unico</w:t>
      </w:r>
      <w:r w:rsidRPr="000315E1">
        <w:rPr>
          <w:sz w:val="24"/>
          <w:szCs w:val="24"/>
        </w:rPr>
        <w:t xml:space="preserve"> in quanto risultano titolari delle utenze finali e utilizzano in via mediata le infrastrutture. Per questa ragione l’obbligo di pagamento con calcolo ad utenza insiste sui singoli operator</w:t>
      </w:r>
      <w:r w:rsidR="0044414E">
        <w:rPr>
          <w:sz w:val="24"/>
          <w:szCs w:val="24"/>
        </w:rPr>
        <w:t>, così che gli Enti Locali beneficiari sono chiamati a recuperare, celermente, le somme spettanti per le ormai 5 annualità trascorse.</w:t>
      </w:r>
    </w:p>
    <w:p w14:paraId="5DB600C7" w14:textId="432B2D10" w:rsidR="000315E1" w:rsidRPr="00AC517F" w:rsidRDefault="000315E1" w:rsidP="000315E1">
      <w:pPr>
        <w:jc w:val="both"/>
        <w:rPr>
          <w:sz w:val="24"/>
          <w:szCs w:val="24"/>
        </w:rPr>
      </w:pPr>
    </w:p>
    <w:p w14:paraId="7E6DAF44" w14:textId="77777777" w:rsidR="00060149" w:rsidRPr="00AC517F" w:rsidRDefault="00060149"/>
    <w:sectPr w:rsidR="00060149" w:rsidRPr="00AC517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8A2"/>
    <w:multiLevelType w:val="hybridMultilevel"/>
    <w:tmpl w:val="C55CD7EE"/>
    <w:lvl w:ilvl="0" w:tplc="669E4674">
      <w:start w:val="1"/>
      <w:numFmt w:val="decimal"/>
      <w:lvlText w:val="%1."/>
      <w:lvlJc w:val="left"/>
      <w:pPr>
        <w:ind w:left="720" w:hanging="360"/>
      </w:pPr>
      <w:rPr>
        <w:rFonts w:ascii="Times New Roman" w:eastAsiaTheme="minorHAnsi" w:hAnsi="Times New Roman" w:cs="Times New Roman"/>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 w15:restartNumberingAfterBreak="0">
    <w:nsid w:val="046D6A8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7C233D8"/>
    <w:multiLevelType w:val="hybridMultilevel"/>
    <w:tmpl w:val="264CAD94"/>
    <w:lvl w:ilvl="0" w:tplc="9E407DD8">
      <w:start w:val="1"/>
      <w:numFmt w:val="lowerLetter"/>
      <w:lvlText w:val="%1)"/>
      <w:lvlJc w:val="left"/>
      <w:pPr>
        <w:tabs>
          <w:tab w:val="num" w:pos="720"/>
        </w:tabs>
        <w:ind w:left="720" w:hanging="360"/>
      </w:pPr>
    </w:lvl>
    <w:lvl w:ilvl="1" w:tplc="2FDA405A" w:tentative="1">
      <w:start w:val="1"/>
      <w:numFmt w:val="lowerLetter"/>
      <w:lvlText w:val="%2)"/>
      <w:lvlJc w:val="left"/>
      <w:pPr>
        <w:tabs>
          <w:tab w:val="num" w:pos="1440"/>
        </w:tabs>
        <w:ind w:left="1440" w:hanging="360"/>
      </w:pPr>
    </w:lvl>
    <w:lvl w:ilvl="2" w:tplc="112E93C0" w:tentative="1">
      <w:start w:val="1"/>
      <w:numFmt w:val="lowerLetter"/>
      <w:lvlText w:val="%3)"/>
      <w:lvlJc w:val="left"/>
      <w:pPr>
        <w:tabs>
          <w:tab w:val="num" w:pos="2160"/>
        </w:tabs>
        <w:ind w:left="2160" w:hanging="360"/>
      </w:pPr>
    </w:lvl>
    <w:lvl w:ilvl="3" w:tplc="C36A4726" w:tentative="1">
      <w:start w:val="1"/>
      <w:numFmt w:val="lowerLetter"/>
      <w:lvlText w:val="%4)"/>
      <w:lvlJc w:val="left"/>
      <w:pPr>
        <w:tabs>
          <w:tab w:val="num" w:pos="2880"/>
        </w:tabs>
        <w:ind w:left="2880" w:hanging="360"/>
      </w:pPr>
    </w:lvl>
    <w:lvl w:ilvl="4" w:tplc="F37452F2" w:tentative="1">
      <w:start w:val="1"/>
      <w:numFmt w:val="lowerLetter"/>
      <w:lvlText w:val="%5)"/>
      <w:lvlJc w:val="left"/>
      <w:pPr>
        <w:tabs>
          <w:tab w:val="num" w:pos="3600"/>
        </w:tabs>
        <w:ind w:left="3600" w:hanging="360"/>
      </w:pPr>
    </w:lvl>
    <w:lvl w:ilvl="5" w:tplc="9762F066" w:tentative="1">
      <w:start w:val="1"/>
      <w:numFmt w:val="lowerLetter"/>
      <w:lvlText w:val="%6)"/>
      <w:lvlJc w:val="left"/>
      <w:pPr>
        <w:tabs>
          <w:tab w:val="num" w:pos="4320"/>
        </w:tabs>
        <w:ind w:left="4320" w:hanging="360"/>
      </w:pPr>
    </w:lvl>
    <w:lvl w:ilvl="6" w:tplc="1DEC469E" w:tentative="1">
      <w:start w:val="1"/>
      <w:numFmt w:val="lowerLetter"/>
      <w:lvlText w:val="%7)"/>
      <w:lvlJc w:val="left"/>
      <w:pPr>
        <w:tabs>
          <w:tab w:val="num" w:pos="5040"/>
        </w:tabs>
        <w:ind w:left="5040" w:hanging="360"/>
      </w:pPr>
    </w:lvl>
    <w:lvl w:ilvl="7" w:tplc="B248FBC8" w:tentative="1">
      <w:start w:val="1"/>
      <w:numFmt w:val="lowerLetter"/>
      <w:lvlText w:val="%8)"/>
      <w:lvlJc w:val="left"/>
      <w:pPr>
        <w:tabs>
          <w:tab w:val="num" w:pos="5760"/>
        </w:tabs>
        <w:ind w:left="5760" w:hanging="360"/>
      </w:pPr>
    </w:lvl>
    <w:lvl w:ilvl="8" w:tplc="AC4EB5A6" w:tentative="1">
      <w:start w:val="1"/>
      <w:numFmt w:val="lowerLetter"/>
      <w:lvlText w:val="%9)"/>
      <w:lvlJc w:val="left"/>
      <w:pPr>
        <w:tabs>
          <w:tab w:val="num" w:pos="6480"/>
        </w:tabs>
        <w:ind w:left="6480" w:hanging="360"/>
      </w:pPr>
    </w:lvl>
  </w:abstractNum>
  <w:num w:numId="1" w16cid:durableId="437912506">
    <w:abstractNumId w:val="2"/>
  </w:num>
  <w:num w:numId="2" w16cid:durableId="759718208">
    <w:abstractNumId w:val="1"/>
  </w:num>
  <w:num w:numId="3" w16cid:durableId="2029798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472"/>
    <w:rsid w:val="0001193E"/>
    <w:rsid w:val="000315E1"/>
    <w:rsid w:val="00060149"/>
    <w:rsid w:val="000C46DD"/>
    <w:rsid w:val="00123838"/>
    <w:rsid w:val="00141472"/>
    <w:rsid w:val="001F3D7C"/>
    <w:rsid w:val="00215101"/>
    <w:rsid w:val="0026116A"/>
    <w:rsid w:val="00266FA2"/>
    <w:rsid w:val="00300E2E"/>
    <w:rsid w:val="0044414E"/>
    <w:rsid w:val="004733E6"/>
    <w:rsid w:val="005308F1"/>
    <w:rsid w:val="00580AF7"/>
    <w:rsid w:val="006C22BA"/>
    <w:rsid w:val="00742B7C"/>
    <w:rsid w:val="007A160E"/>
    <w:rsid w:val="007B1496"/>
    <w:rsid w:val="007B5179"/>
    <w:rsid w:val="00A304A9"/>
    <w:rsid w:val="00A632CA"/>
    <w:rsid w:val="00AC517F"/>
    <w:rsid w:val="00BA39B2"/>
    <w:rsid w:val="00C42C7E"/>
    <w:rsid w:val="00CF1CB4"/>
    <w:rsid w:val="00D23E80"/>
    <w:rsid w:val="00D873B2"/>
    <w:rsid w:val="00EC74F2"/>
    <w:rsid w:val="00FE69A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2DC71"/>
  <w15:chartTrackingRefBased/>
  <w15:docId w15:val="{C1AA9007-4FB7-4E77-94F3-82A6A4B1E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41472"/>
  </w:style>
  <w:style w:type="paragraph" w:styleId="Titolo1">
    <w:name w:val="heading 1"/>
    <w:basedOn w:val="Normale"/>
    <w:next w:val="Normale"/>
    <w:link w:val="Titolo1Carattere"/>
    <w:uiPriority w:val="9"/>
    <w:qFormat/>
    <w:rsid w:val="001414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1414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141472"/>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141472"/>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141472"/>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14147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4147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4147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4147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41472"/>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141472"/>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141472"/>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141472"/>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141472"/>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14147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4147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4147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41472"/>
    <w:rPr>
      <w:rFonts w:eastAsiaTheme="majorEastAsia" w:cstheme="majorBidi"/>
      <w:color w:val="272727" w:themeColor="text1" w:themeTint="D8"/>
    </w:rPr>
  </w:style>
  <w:style w:type="paragraph" w:styleId="Titolo">
    <w:name w:val="Title"/>
    <w:basedOn w:val="Normale"/>
    <w:next w:val="Normale"/>
    <w:link w:val="TitoloCarattere"/>
    <w:uiPriority w:val="10"/>
    <w:qFormat/>
    <w:rsid w:val="00141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4147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4147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4147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4147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41472"/>
    <w:rPr>
      <w:i/>
      <w:iCs/>
      <w:color w:val="404040" w:themeColor="text1" w:themeTint="BF"/>
    </w:rPr>
  </w:style>
  <w:style w:type="paragraph" w:styleId="Paragrafoelenco">
    <w:name w:val="List Paragraph"/>
    <w:basedOn w:val="Normale"/>
    <w:uiPriority w:val="34"/>
    <w:qFormat/>
    <w:rsid w:val="00141472"/>
    <w:pPr>
      <w:ind w:left="720"/>
      <w:contextualSpacing/>
    </w:pPr>
  </w:style>
  <w:style w:type="character" w:styleId="Enfasiintensa">
    <w:name w:val="Intense Emphasis"/>
    <w:basedOn w:val="Carpredefinitoparagrafo"/>
    <w:uiPriority w:val="21"/>
    <w:qFormat/>
    <w:rsid w:val="00141472"/>
    <w:rPr>
      <w:i/>
      <w:iCs/>
      <w:color w:val="2F5496" w:themeColor="accent1" w:themeShade="BF"/>
    </w:rPr>
  </w:style>
  <w:style w:type="paragraph" w:styleId="Citazioneintensa">
    <w:name w:val="Intense Quote"/>
    <w:basedOn w:val="Normale"/>
    <w:next w:val="Normale"/>
    <w:link w:val="CitazioneintensaCarattere"/>
    <w:uiPriority w:val="30"/>
    <w:qFormat/>
    <w:rsid w:val="001414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141472"/>
    <w:rPr>
      <w:i/>
      <w:iCs/>
      <w:color w:val="2F5496" w:themeColor="accent1" w:themeShade="BF"/>
    </w:rPr>
  </w:style>
  <w:style w:type="character" w:styleId="Riferimentointenso">
    <w:name w:val="Intense Reference"/>
    <w:basedOn w:val="Carpredefinitoparagrafo"/>
    <w:uiPriority w:val="32"/>
    <w:qFormat/>
    <w:rsid w:val="001414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606</TotalTime>
  <Pages>3</Pages>
  <Words>1607</Words>
  <Characters>9164</Characters>
  <Application>Microsoft Office Word</Application>
  <DocSecurity>0</DocSecurity>
  <Lines>76</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21</cp:revision>
  <dcterms:created xsi:type="dcterms:W3CDTF">2026-01-29T08:05:00Z</dcterms:created>
  <dcterms:modified xsi:type="dcterms:W3CDTF">2026-02-04T07:56:00Z</dcterms:modified>
</cp:coreProperties>
</file>