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6D887" w14:textId="724BF777" w:rsidR="00997EAF" w:rsidRPr="00AA4E7E" w:rsidRDefault="00997EAF" w:rsidP="00AB410B">
      <w:pPr>
        <w:jc w:val="both"/>
        <w:rPr>
          <w:b/>
          <w:bCs/>
        </w:rPr>
      </w:pPr>
      <w:r w:rsidRPr="00AA4E7E">
        <w:rPr>
          <w:b/>
          <w:bCs/>
        </w:rPr>
        <w:t>Quesito:  Le fermate del trasporto pubblico locale (TPL) possono essere soggette al canone unico patrimoniale?</w:t>
      </w:r>
      <w:r w:rsidRPr="00AA4E7E">
        <w:rPr>
          <w:b/>
          <w:bCs/>
        </w:rPr>
        <w:br/>
      </w:r>
    </w:p>
    <w:p w14:paraId="6E3C1430" w14:textId="6CE44828" w:rsidR="000E136F" w:rsidRDefault="00997EAF" w:rsidP="00AB410B">
      <w:pPr>
        <w:jc w:val="both"/>
      </w:pPr>
      <w:r>
        <w:t>Possiamo ritenere esenti dal pagamento del Canone Unico l</w:t>
      </w:r>
      <w:r w:rsidR="002D0913">
        <w:t>e fermate del trasporto pubblico locale</w:t>
      </w:r>
      <w:r>
        <w:t>.</w:t>
      </w:r>
      <w:r w:rsidR="002D0913">
        <w:t xml:space="preserve"> </w:t>
      </w:r>
    </w:p>
    <w:p w14:paraId="498C3FB3" w14:textId="2F8A62D4" w:rsidR="002D0913" w:rsidRDefault="002D0913" w:rsidP="00AB410B">
      <w:pPr>
        <w:jc w:val="both"/>
      </w:pPr>
      <w:r>
        <w:t xml:space="preserve">Innanzi tutto precisiamo che il Legislatore in materia di CUP disciplina due </w:t>
      </w:r>
      <w:r w:rsidR="00997EAF">
        <w:t xml:space="preserve">specifiche </w:t>
      </w:r>
      <w:r>
        <w:t>ipotesi di esenzione collegate al TPL. La norma si riferisce alle tabelle indicative delle stazioni e delle fermate. Per queste tipologie non vi è quindi dubbio sull’esclusione dal pagamento, sia per quanto riguarda il presupposto di cui al comma 819 lettera A, ovvero l’occupazione di suolo pubblico, sia per quanto riguarda il presupposto di cui alla successiva lettera B legato alla diffusione pubblicitaria</w:t>
      </w:r>
    </w:p>
    <w:p w14:paraId="6E2E814A" w14:textId="13C12A1F" w:rsidR="002D0913" w:rsidRDefault="002D0913" w:rsidP="00AB410B">
      <w:pPr>
        <w:jc w:val="both"/>
        <w:rPr>
          <w:i/>
          <w:iCs/>
        </w:rPr>
      </w:pPr>
      <w:r>
        <w:t>La previsione normativa dispone</w:t>
      </w:r>
      <w:r w:rsidR="00997EAF">
        <w:t xml:space="preserve"> al comma 833 della Legge 160/2019</w:t>
      </w:r>
      <w:r>
        <w:t xml:space="preserve">: </w:t>
      </w:r>
      <w:r w:rsidRPr="002D0913">
        <w:rPr>
          <w:i/>
          <w:iCs/>
        </w:rPr>
        <w:t>“Sono esenti dal canone</w:t>
      </w:r>
      <w:r>
        <w:rPr>
          <w:i/>
          <w:iCs/>
        </w:rPr>
        <w:t>:</w:t>
      </w:r>
    </w:p>
    <w:p w14:paraId="1B9C1185" w14:textId="77777777" w:rsidR="002D0913" w:rsidRDefault="002D0913" w:rsidP="00AB410B">
      <w:pPr>
        <w:jc w:val="both"/>
        <w:rPr>
          <w:i/>
          <w:iCs/>
        </w:rPr>
      </w:pPr>
      <w:r w:rsidRPr="002D0913">
        <w:rPr>
          <w:i/>
          <w:iCs/>
        </w:rPr>
        <w:t>b) le occupazioni con le tabelle indicative delle stazioni e fermate e degli orari dei servizi pubblici di trasporto, nonché i mezzi la cui esposizione sia obbligatoria per norma di legge o regolamento, purché di superficie non superiore ad un metro quadrato, se non sia stabilito altrimenti;”</w:t>
      </w:r>
      <w:r>
        <w:rPr>
          <w:i/>
          <w:iCs/>
        </w:rPr>
        <w:t xml:space="preserve"> … </w:t>
      </w:r>
    </w:p>
    <w:p w14:paraId="01532CA1" w14:textId="0922EAF3" w:rsidR="002D0913" w:rsidRDefault="002D0913" w:rsidP="00AB410B">
      <w:pPr>
        <w:jc w:val="both"/>
        <w:rPr>
          <w:i/>
          <w:iCs/>
        </w:rPr>
      </w:pPr>
      <w:r w:rsidRPr="002D0913">
        <w:rPr>
          <w:i/>
          <w:iCs/>
        </w:rPr>
        <w:t>h) i messaggi pubblicitari esposti all'interno delle stazioni dei servizi di trasporto pubblico di ogni genere inerenti all'attività esercitata dall'impresa di trasporto;</w:t>
      </w:r>
    </w:p>
    <w:p w14:paraId="698CA81C" w14:textId="7952BE2B" w:rsidR="00D03A58" w:rsidRDefault="002D0913" w:rsidP="00AB410B">
      <w:pPr>
        <w:jc w:val="both"/>
      </w:pPr>
      <w:r>
        <w:t>Per quanto riguarda invece l’</w:t>
      </w:r>
      <w:r w:rsidR="00AB410B">
        <w:t>occupazione</w:t>
      </w:r>
      <w:r>
        <w:t xml:space="preserve"> realizzata dalla fermata</w:t>
      </w:r>
      <w:r w:rsidR="00AB410B">
        <w:t xml:space="preserve"> stessa</w:t>
      </w:r>
      <w:r>
        <w:t xml:space="preserve">, intesa come pensilina a favore degli utenti del TPL, si ritiene </w:t>
      </w:r>
      <w:r w:rsidR="00AB410B">
        <w:t xml:space="preserve">possa essere estesa </w:t>
      </w:r>
      <w:r w:rsidR="00D03A58">
        <w:t xml:space="preserve">anche a questa fattispecie </w:t>
      </w:r>
      <w:r w:rsidR="00AB410B">
        <w:t>l’esenzione già prevista per l</w:t>
      </w:r>
      <w:r w:rsidR="002C6DC7">
        <w:t>e</w:t>
      </w:r>
      <w:r w:rsidR="00AB410B">
        <w:t xml:space="preserve"> tabell</w:t>
      </w:r>
      <w:r w:rsidR="002C6DC7">
        <w:t>e</w:t>
      </w:r>
      <w:r w:rsidR="00AB410B">
        <w:t xml:space="preserve"> indicativ</w:t>
      </w:r>
      <w:r w:rsidR="002C6DC7">
        <w:t xml:space="preserve">e </w:t>
      </w:r>
      <w:r w:rsidR="006507C0">
        <w:t>delle fermate</w:t>
      </w:r>
      <w:r w:rsidR="002C6DC7">
        <w:t xml:space="preserve"> e</w:t>
      </w:r>
      <w:r w:rsidR="00AB410B">
        <w:t xml:space="preserve"> degli orari, o meglio si ritiene applicabile l’esclusione dal presupposto in quanto di fatto non si realizza una vera e propria occupazione. </w:t>
      </w:r>
    </w:p>
    <w:p w14:paraId="21ACD83E" w14:textId="5B91EF9C" w:rsidR="002D0913" w:rsidRDefault="00AB410B" w:rsidP="00AB410B">
      <w:pPr>
        <w:jc w:val="both"/>
      </w:pPr>
      <w:r>
        <w:t>Sulla questione si registra l’importante pronuncia della Corte di Cassazione n.</w:t>
      </w:r>
      <w:r w:rsidRPr="00AB410B">
        <w:t xml:space="preserve"> 20076 del 18/9/2009 </w:t>
      </w:r>
      <w:r>
        <w:t>nella quale i magistrati hanno valuta</w:t>
      </w:r>
      <w:r w:rsidR="00D03A58">
        <w:t>to</w:t>
      </w:r>
      <w:r>
        <w:t xml:space="preserve"> </w:t>
      </w:r>
      <w:r w:rsidR="00997EAF">
        <w:t xml:space="preserve">come </w:t>
      </w:r>
      <w:r>
        <w:t xml:space="preserve">inesistente </w:t>
      </w:r>
      <w:r w:rsidRPr="00AB410B">
        <w:t>il presupposto impositivo  relativamente alla collocazione di una pensilina alla fermata dell'autobus di linea, ove il giudice di merito abbia accertato in fatto che la stessa non sottrae superficie al godimento della collettività ma, anzi, proteggendo gli utenti del servizio pubblico di trasporto dagli agenti atmosferici, agevola lo sfruttamento del suolo pubblico.</w:t>
      </w:r>
    </w:p>
    <w:p w14:paraId="6C74BDCD" w14:textId="73E952A4" w:rsidR="002C6DC7" w:rsidRDefault="002C6DC7" w:rsidP="00AB410B">
      <w:pPr>
        <w:jc w:val="both"/>
      </w:pPr>
      <w:r>
        <w:t xml:space="preserve">La pronuncia </w:t>
      </w:r>
      <w:r w:rsidR="00997EAF">
        <w:t xml:space="preserve">della Cassazione riguarda una vertenza sorta con il </w:t>
      </w:r>
      <w:r>
        <w:t xml:space="preserve">regime TOSAP, il vecchio prelievo dedicato alle occupazioni di suolo pubblico sostituito dall’attuale Canone Unico. </w:t>
      </w:r>
      <w:r w:rsidR="00997EAF">
        <w:t>Tuttavia</w:t>
      </w:r>
      <w:r>
        <w:t xml:space="preserve">, considerato </w:t>
      </w:r>
      <w:r w:rsidR="00997EAF">
        <w:t>come</w:t>
      </w:r>
      <w:r>
        <w:t xml:space="preserve"> l’attuale entrata affond</w:t>
      </w:r>
      <w:r w:rsidR="00997EAF">
        <w:t>i</w:t>
      </w:r>
      <w:r>
        <w:t xml:space="preserve"> pesantemente le proprie radici nel precedente prelievo, ricalcandone gran parte della disciplina,  la giurisprudenza formatasi in materia di Tosap può  legittimamente essere mutuata nell’attuale canone.</w:t>
      </w:r>
    </w:p>
    <w:p w14:paraId="049DE12F" w14:textId="77777777" w:rsidR="001C28B1" w:rsidRDefault="001C28B1" w:rsidP="00AB410B">
      <w:pPr>
        <w:jc w:val="both"/>
      </w:pPr>
    </w:p>
    <w:p w14:paraId="6AEB608B" w14:textId="0E181270" w:rsidR="001C28B1" w:rsidRPr="001C28B1" w:rsidRDefault="001C28B1" w:rsidP="00AB410B">
      <w:pPr>
        <w:jc w:val="both"/>
        <w:rPr>
          <w:b/>
          <w:bCs/>
        </w:rPr>
      </w:pPr>
      <w:r w:rsidRPr="001C28B1">
        <w:rPr>
          <w:b/>
          <w:bCs/>
        </w:rPr>
        <w:t>INTEGRAZIONE</w:t>
      </w:r>
    </w:p>
    <w:p w14:paraId="7E225C9C" w14:textId="754AB2A3" w:rsidR="001C28B1" w:rsidRPr="001C28B1" w:rsidRDefault="001C28B1" w:rsidP="001C28B1">
      <w:pPr>
        <w:jc w:val="both"/>
      </w:pPr>
      <w:r>
        <w:t xml:space="preserve">Detto che </w:t>
      </w:r>
      <w:r w:rsidRPr="001C28B1">
        <w:t xml:space="preserve">le occupazioni con le tabelle indicative delle stazioni e fermate e degli orari dei servizi pubblici di trasporto </w:t>
      </w:r>
      <w:r>
        <w:t xml:space="preserve">sono esenti per Legge (comma 833 lettera B, art.1 Legge 160/2019), precisato che si può estendere l’esenzione anche alle fermate intese come pensiline a favore degli utenti del TPL, giusto orientamento giurisprudenziale che vuole considerare le pensiline come manufatti che non sottraggono </w:t>
      </w:r>
      <w:r w:rsidRPr="00AB410B">
        <w:t>superficie al godimento della collettività ma, anzi, protegg</w:t>
      </w:r>
      <w:r>
        <w:t>ono</w:t>
      </w:r>
      <w:r w:rsidRPr="00AB410B">
        <w:t xml:space="preserve"> gli utenti del </w:t>
      </w:r>
      <w:r>
        <w:t>TPL</w:t>
      </w:r>
      <w:r w:rsidRPr="00AB410B">
        <w:t xml:space="preserve"> dagli agenti atmosferici, agevola</w:t>
      </w:r>
      <w:r>
        <w:t>ndo di fatto</w:t>
      </w:r>
      <w:r w:rsidRPr="00AB410B">
        <w:t xml:space="preserve"> lo sfruttamento del suolo pubblico</w:t>
      </w:r>
      <w:r>
        <w:t>,  con l’odierna integrazione valutiamo la potenziale occupazione realizzata dall’area</w:t>
      </w:r>
      <w:r w:rsidRPr="001C28B1">
        <w:t xml:space="preserve"> di sosta del mezzo sulla carreggiata della strada. </w:t>
      </w:r>
    </w:p>
    <w:p w14:paraId="0D4842A4" w14:textId="04DEB813" w:rsidR="00AC1DD8" w:rsidRDefault="001C28B1" w:rsidP="00AB410B">
      <w:pPr>
        <w:jc w:val="both"/>
      </w:pPr>
      <w:r>
        <w:t xml:space="preserve">Anche per questa tipologia si ritiene esclusa l’applicazione del prelievo dedicato alle occupazioni di suolo pubblico. Di fatto </w:t>
      </w:r>
      <w:r w:rsidR="00AC1DD8" w:rsidRPr="00AC1DD8">
        <w:t xml:space="preserve">non si integra il presupposto in quanto non è configurabile sottrazione di suolo e, </w:t>
      </w:r>
      <w:r w:rsidR="00AC1DD8">
        <w:t>peraltro</w:t>
      </w:r>
      <w:r w:rsidR="00AC1DD8" w:rsidRPr="00AC1DD8">
        <w:t>, trattasi di</w:t>
      </w:r>
      <w:r w:rsidR="00D57C52">
        <w:t xml:space="preserve"> uno spazio della carreggiata o sede stradale </w:t>
      </w:r>
      <w:r w:rsidR="00AC1DD8" w:rsidRPr="00AC1DD8">
        <w:t>obbligatoria ai sensi del C</w:t>
      </w:r>
      <w:r w:rsidR="00AC1DD8">
        <w:t xml:space="preserve">odice </w:t>
      </w:r>
      <w:r w:rsidR="00AC1DD8" w:rsidRPr="00AC1DD8">
        <w:t>D</w:t>
      </w:r>
      <w:r w:rsidR="00AC1DD8">
        <w:t xml:space="preserve">ella </w:t>
      </w:r>
      <w:r w:rsidR="00AC1DD8" w:rsidRPr="00AC1DD8">
        <w:t>S</w:t>
      </w:r>
      <w:r w:rsidR="00AC1DD8">
        <w:t>trada</w:t>
      </w:r>
      <w:r w:rsidR="00AC1DD8" w:rsidRPr="00AC1DD8">
        <w:t xml:space="preserve"> per ovvie ragioni di sicurezza</w:t>
      </w:r>
      <w:r w:rsidR="00D57C52">
        <w:t>, disciplinate all’a</w:t>
      </w:r>
      <w:r w:rsidR="00D57C52" w:rsidRPr="00D57C52">
        <w:t xml:space="preserve">rticolo 352 </w:t>
      </w:r>
      <w:r w:rsidR="00D57C52">
        <w:t>del</w:t>
      </w:r>
      <w:r w:rsidR="00D57C52" w:rsidRPr="00D57C52">
        <w:t xml:space="preserve"> </w:t>
      </w:r>
      <w:r w:rsidR="00D57C52">
        <w:t xml:space="preserve">relativo </w:t>
      </w:r>
      <w:r w:rsidR="00D57C52" w:rsidRPr="00D57C52">
        <w:t>Regolamento di Attuazione</w:t>
      </w:r>
      <w:r w:rsidR="00AC1DD8" w:rsidRPr="00AC1DD8">
        <w:t>.</w:t>
      </w:r>
      <w:r w:rsidR="00AC1DD8" w:rsidRPr="00AC1DD8">
        <w:t xml:space="preserve"> </w:t>
      </w:r>
      <w:r w:rsidR="00AC1DD8">
        <w:t>N</w:t>
      </w:r>
      <w:r>
        <w:t xml:space="preserve">on esiste </w:t>
      </w:r>
      <w:r w:rsidR="00AC1DD8">
        <w:t xml:space="preserve">pertanto </w:t>
      </w:r>
      <w:r>
        <w:t xml:space="preserve">un’occupazione materiale, tanto che l’area, quando non occupata dalla sosta del </w:t>
      </w:r>
      <w:r w:rsidR="00D57C52">
        <w:t>Bus</w:t>
      </w:r>
      <w:r>
        <w:t xml:space="preserve"> rimane </w:t>
      </w:r>
      <w:r w:rsidR="00984EAA">
        <w:t xml:space="preserve">nella disponibilità della collettività. Certo, per effetto delle disposizioni del Codice della Strada, </w:t>
      </w:r>
      <w:r w:rsidR="00AC1DD8">
        <w:t xml:space="preserve">la collettività </w:t>
      </w:r>
      <w:r w:rsidR="00984EAA">
        <w:t xml:space="preserve">non ne potrà far uso liberamente, ma, </w:t>
      </w:r>
      <w:r w:rsidR="001026D5">
        <w:t xml:space="preserve">così </w:t>
      </w:r>
      <w:r w:rsidR="00984EAA">
        <w:t xml:space="preserve">come avviene per le aree di parcheggio o per le corsie riservate, </w:t>
      </w:r>
      <w:r w:rsidR="00984EAA">
        <w:lastRenderedPageBreak/>
        <w:t>l’utilizzo sarà limitato in base alle regole della circolazione stradale e della sicurezza urbana</w:t>
      </w:r>
      <w:r w:rsidR="00D57C52">
        <w:t>, senza tuttavia rappresentare un’occupazione di suolo pubblico.</w:t>
      </w:r>
    </w:p>
    <w:p w14:paraId="2F1D0DA6" w14:textId="68B5AC65" w:rsidR="00A75C08" w:rsidRDefault="00A75C08" w:rsidP="00AB410B">
      <w:pPr>
        <w:jc w:val="both"/>
      </w:pPr>
      <w:r>
        <w:t>In conclusione si ritengono le</w:t>
      </w:r>
      <w:r w:rsidRPr="00A75C08">
        <w:t xml:space="preserve"> </w:t>
      </w:r>
      <w:r>
        <w:t>aree</w:t>
      </w:r>
      <w:r w:rsidRPr="001C28B1">
        <w:t xml:space="preserve"> di sosta del mezzo sulla carreggiata </w:t>
      </w:r>
      <w:r>
        <w:t>stradale non soggette al presupposto applicativo del Canone Unico</w:t>
      </w:r>
      <w:r w:rsidR="00AC1DD8">
        <w:t xml:space="preserve">, e comunque, </w:t>
      </w:r>
      <w:r w:rsidR="00D57C52">
        <w:t>con diversa lettura</w:t>
      </w:r>
      <w:r w:rsidR="00AC1DD8">
        <w:t xml:space="preserve">, dovrebbero </w:t>
      </w:r>
      <w:r w:rsidR="00D57C52">
        <w:t xml:space="preserve">in ogni caso </w:t>
      </w:r>
      <w:r w:rsidR="00AC1DD8">
        <w:t>rientrare nell’ipotesi di esenzione di cui alla lettera B</w:t>
      </w:r>
      <w:r w:rsidR="00D57C52">
        <w:t xml:space="preserve"> del comma 833</w:t>
      </w:r>
      <w:r w:rsidR="00AC1DD8">
        <w:t xml:space="preserve">, </w:t>
      </w:r>
      <w:r w:rsidR="00D57C52">
        <w:t>in quanto, se</w:t>
      </w:r>
      <w:r w:rsidR="00AC1DD8">
        <w:t xml:space="preserve"> per il Legislatore</w:t>
      </w:r>
      <w:r w:rsidR="00AC1DD8" w:rsidRPr="00AC1DD8">
        <w:t xml:space="preserve"> sono esenti le occupazioni con tabelle e paline</w:t>
      </w:r>
      <w:r w:rsidR="00AC1DD8">
        <w:t>,</w:t>
      </w:r>
      <w:r w:rsidR="00AC1DD8" w:rsidRPr="00AC1DD8">
        <w:t xml:space="preserve"> non </w:t>
      </w:r>
      <w:r w:rsidR="00AC1DD8">
        <w:t xml:space="preserve">si spiegherebbe viceversa l’applicazione del canone per le </w:t>
      </w:r>
      <w:r w:rsidR="00AC1DD8" w:rsidRPr="00AC1DD8">
        <w:t>aree di fermata</w:t>
      </w:r>
      <w:r w:rsidR="00D57C52">
        <w:t xml:space="preserve"> a cui fanno riferimento</w:t>
      </w:r>
      <w:r>
        <w:t>.</w:t>
      </w:r>
    </w:p>
    <w:p w14:paraId="0CB9F0B0" w14:textId="5E639592" w:rsidR="00AB410B" w:rsidRDefault="00984EAA" w:rsidP="00AB410B">
      <w:pPr>
        <w:jc w:val="both"/>
      </w:pPr>
      <w:r>
        <w:t xml:space="preserve"> </w:t>
      </w:r>
    </w:p>
    <w:sectPr w:rsidR="00AB410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10"/>
    <w:rsid w:val="000E136F"/>
    <w:rsid w:val="001026D5"/>
    <w:rsid w:val="001C28B1"/>
    <w:rsid w:val="002357DA"/>
    <w:rsid w:val="002C6DC7"/>
    <w:rsid w:val="002D0913"/>
    <w:rsid w:val="006507C0"/>
    <w:rsid w:val="006D4F67"/>
    <w:rsid w:val="00931C72"/>
    <w:rsid w:val="00984EAA"/>
    <w:rsid w:val="00997EAF"/>
    <w:rsid w:val="00A75C08"/>
    <w:rsid w:val="00A97C89"/>
    <w:rsid w:val="00AA4E7E"/>
    <w:rsid w:val="00AB410B"/>
    <w:rsid w:val="00AC1DD8"/>
    <w:rsid w:val="00D03A58"/>
    <w:rsid w:val="00D57C52"/>
    <w:rsid w:val="00DF4010"/>
    <w:rsid w:val="00E13B7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50323"/>
  <w15:chartTrackingRefBased/>
  <w15:docId w15:val="{5B3A66D4-A974-4914-A318-97CCE811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2D0913"/>
    <w:rPr>
      <w:color w:val="0563C1" w:themeColor="hyperlink"/>
      <w:u w:val="single"/>
    </w:rPr>
  </w:style>
  <w:style w:type="character" w:styleId="Menzionenonrisolta">
    <w:name w:val="Unresolved Mention"/>
    <w:basedOn w:val="Carpredefinitoparagrafo"/>
    <w:uiPriority w:val="99"/>
    <w:semiHidden/>
    <w:unhideWhenUsed/>
    <w:rsid w:val="002D09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9518651">
      <w:bodyDiv w:val="1"/>
      <w:marLeft w:val="0"/>
      <w:marRight w:val="0"/>
      <w:marTop w:val="0"/>
      <w:marBottom w:val="0"/>
      <w:divBdr>
        <w:top w:val="none" w:sz="0" w:space="0" w:color="auto"/>
        <w:left w:val="none" w:sz="0" w:space="0" w:color="auto"/>
        <w:bottom w:val="none" w:sz="0" w:space="0" w:color="auto"/>
        <w:right w:val="none" w:sz="0" w:space="0" w:color="auto"/>
      </w:divBdr>
    </w:div>
    <w:div w:id="599458208">
      <w:bodyDiv w:val="1"/>
      <w:marLeft w:val="0"/>
      <w:marRight w:val="0"/>
      <w:marTop w:val="0"/>
      <w:marBottom w:val="0"/>
      <w:divBdr>
        <w:top w:val="none" w:sz="0" w:space="0" w:color="auto"/>
        <w:left w:val="none" w:sz="0" w:space="0" w:color="auto"/>
        <w:bottom w:val="none" w:sz="0" w:space="0" w:color="auto"/>
        <w:right w:val="none" w:sz="0" w:space="0" w:color="auto"/>
      </w:divBdr>
    </w:div>
    <w:div w:id="727848873">
      <w:bodyDiv w:val="1"/>
      <w:marLeft w:val="0"/>
      <w:marRight w:val="0"/>
      <w:marTop w:val="0"/>
      <w:marBottom w:val="0"/>
      <w:divBdr>
        <w:top w:val="none" w:sz="0" w:space="0" w:color="auto"/>
        <w:left w:val="none" w:sz="0" w:space="0" w:color="auto"/>
        <w:bottom w:val="none" w:sz="0" w:space="0" w:color="auto"/>
        <w:right w:val="none" w:sz="0" w:space="0" w:color="auto"/>
      </w:divBdr>
    </w:div>
    <w:div w:id="1240138586">
      <w:bodyDiv w:val="1"/>
      <w:marLeft w:val="0"/>
      <w:marRight w:val="0"/>
      <w:marTop w:val="0"/>
      <w:marBottom w:val="0"/>
      <w:divBdr>
        <w:top w:val="none" w:sz="0" w:space="0" w:color="auto"/>
        <w:left w:val="none" w:sz="0" w:space="0" w:color="auto"/>
        <w:bottom w:val="none" w:sz="0" w:space="0" w:color="auto"/>
        <w:right w:val="none" w:sz="0" w:space="0" w:color="auto"/>
      </w:divBdr>
    </w:div>
    <w:div w:id="1275943693">
      <w:bodyDiv w:val="1"/>
      <w:marLeft w:val="0"/>
      <w:marRight w:val="0"/>
      <w:marTop w:val="0"/>
      <w:marBottom w:val="0"/>
      <w:divBdr>
        <w:top w:val="none" w:sz="0" w:space="0" w:color="auto"/>
        <w:left w:val="none" w:sz="0" w:space="0" w:color="auto"/>
        <w:bottom w:val="none" w:sz="0" w:space="0" w:color="auto"/>
        <w:right w:val="none" w:sz="0" w:space="0" w:color="auto"/>
      </w:divBdr>
    </w:div>
    <w:div w:id="1701474596">
      <w:bodyDiv w:val="1"/>
      <w:marLeft w:val="0"/>
      <w:marRight w:val="0"/>
      <w:marTop w:val="0"/>
      <w:marBottom w:val="0"/>
      <w:divBdr>
        <w:top w:val="none" w:sz="0" w:space="0" w:color="auto"/>
        <w:left w:val="none" w:sz="0" w:space="0" w:color="auto"/>
        <w:bottom w:val="none" w:sz="0" w:space="0" w:color="auto"/>
        <w:right w:val="none" w:sz="0" w:space="0" w:color="auto"/>
      </w:divBdr>
    </w:div>
    <w:div w:id="1780181414">
      <w:bodyDiv w:val="1"/>
      <w:marLeft w:val="0"/>
      <w:marRight w:val="0"/>
      <w:marTop w:val="0"/>
      <w:marBottom w:val="0"/>
      <w:divBdr>
        <w:top w:val="none" w:sz="0" w:space="0" w:color="auto"/>
        <w:left w:val="none" w:sz="0" w:space="0" w:color="auto"/>
        <w:bottom w:val="none" w:sz="0" w:space="0" w:color="auto"/>
        <w:right w:val="none" w:sz="0" w:space="0" w:color="auto"/>
      </w:divBdr>
    </w:div>
    <w:div w:id="211898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707</Words>
  <Characters>4036</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alessandro merciari</cp:lastModifiedBy>
  <cp:revision>11</cp:revision>
  <dcterms:created xsi:type="dcterms:W3CDTF">2024-11-23T17:42:00Z</dcterms:created>
  <dcterms:modified xsi:type="dcterms:W3CDTF">2024-12-02T15:02:00Z</dcterms:modified>
</cp:coreProperties>
</file>