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D474" w14:textId="2C5A81ED" w:rsidR="00060149" w:rsidRDefault="00881DD9">
      <w:r>
        <w:t xml:space="preserve">Titolo: </w:t>
      </w:r>
      <w:r w:rsidRPr="00881DD9">
        <w:t>le infrastrutture di rete realizzate con finanziamenti pubblici non godono d</w:t>
      </w:r>
      <w:r w:rsidR="008A2FD5">
        <w:t>ell’</w:t>
      </w:r>
      <w:r w:rsidRPr="00881DD9">
        <w:t>esenzione CUP</w:t>
      </w:r>
    </w:p>
    <w:p w14:paraId="17C8B123" w14:textId="4F06B8A2" w:rsidR="00881DD9" w:rsidRDefault="00881DD9">
      <w:r>
        <w:t>Di Alessandro Merciari</w:t>
      </w:r>
    </w:p>
    <w:p w14:paraId="515D7044" w14:textId="6CCEE35F" w:rsidR="00C1167C" w:rsidRDefault="00C1167C" w:rsidP="00881DD9">
      <w:pPr>
        <w:jc w:val="both"/>
      </w:pPr>
      <w:r>
        <w:t>Nell’ambito dei servizi di rete e del corretto calcolo dello speciale Canone previsto al comma 831 della Legge 160/2019 da corrispondere ad utenza in relazione alle occupazioni permanenti realizzate dalle aziende che erogano i pubblic</w:t>
      </w:r>
      <w:r w:rsidR="00535D4F">
        <w:t>i</w:t>
      </w:r>
      <w:r>
        <w:t xml:space="preserve"> servizi, c’è un</w:t>
      </w:r>
      <w:r w:rsidR="00535D4F">
        <w:t xml:space="preserve">a criticità particolare </w:t>
      </w:r>
      <w:r>
        <w:t xml:space="preserve">che sta emergendo </w:t>
      </w:r>
      <w:r w:rsidR="00535D4F">
        <w:t xml:space="preserve">grazie </w:t>
      </w:r>
      <w:r>
        <w:t>all’attività di controllo effettuata dagli uffici dei Comuni e delle Province destinatarie dell’incasso del canone.</w:t>
      </w:r>
      <w:r w:rsidR="00535D4F">
        <w:t xml:space="preserve"> </w:t>
      </w:r>
    </w:p>
    <w:p w14:paraId="0555E3C1" w14:textId="1657B971" w:rsidR="00535D4F" w:rsidRDefault="00535D4F" w:rsidP="00881DD9">
      <w:pPr>
        <w:jc w:val="both"/>
      </w:pPr>
      <w:r>
        <w:t>Il criterio di dichiarazione, calcolo e versamento del canone è previsto in autoliquidazione da parte delle corporate dei vari settori, così che eventuali interpretazioni della norma errate non verranno mai evidenziate senza un diretto e puntuale controllo da parte degli enti locali.</w:t>
      </w:r>
    </w:p>
    <w:p w14:paraId="1CECED28" w14:textId="3DC05039" w:rsidR="00881DD9" w:rsidRDefault="00535D4F" w:rsidP="00881DD9">
      <w:pPr>
        <w:jc w:val="both"/>
      </w:pPr>
      <w:r>
        <w:t>Molti Comuni</w:t>
      </w:r>
      <w:r w:rsidR="008865B2">
        <w:t xml:space="preserve">, anche grazie all’attività di informazione della </w:t>
      </w:r>
      <w:proofErr w:type="gramStart"/>
      <w:r w:rsidR="008865B2">
        <w:t xml:space="preserve">piattaforma, </w:t>
      </w:r>
      <w:r w:rsidR="00881DD9">
        <w:t xml:space="preserve"> in</w:t>
      </w:r>
      <w:proofErr w:type="gramEnd"/>
      <w:r w:rsidR="00881DD9">
        <w:t xml:space="preserve"> questi ultimi mesi stanno intensificando i controlli e</w:t>
      </w:r>
      <w:r w:rsidR="00740AF5">
        <w:t xml:space="preserve"> attivando i procedimenti </w:t>
      </w:r>
      <w:proofErr w:type="gramStart"/>
      <w:r w:rsidR="00740AF5">
        <w:t xml:space="preserve">di </w:t>
      </w:r>
      <w:r w:rsidR="00881DD9">
        <w:t xml:space="preserve"> accertamento</w:t>
      </w:r>
      <w:proofErr w:type="gramEnd"/>
      <w:r w:rsidR="00881DD9">
        <w:t xml:space="preserve"> nei confronti di quelle compagnie che </w:t>
      </w:r>
      <w:r w:rsidR="008865B2">
        <w:t xml:space="preserve">appunto </w:t>
      </w:r>
      <w:r w:rsidR="00881DD9">
        <w:t xml:space="preserve">non interpretano e non versano il canone secondo i dettami voluti dal Legislatore. </w:t>
      </w:r>
      <w:r w:rsidR="008865B2">
        <w:t xml:space="preserve"> Sarebbe un errore pensare che gli uffici contabili di queste grandi società non sbaglino mai e applichino sempre correttamente i propri obblighi fiscali.</w:t>
      </w:r>
    </w:p>
    <w:p w14:paraId="5EDDC67C" w14:textId="75620548" w:rsidR="00881DD9" w:rsidRDefault="00740AF5" w:rsidP="009515EF">
      <w:pPr>
        <w:jc w:val="both"/>
        <w:rPr>
          <w:i/>
          <w:iCs/>
        </w:rPr>
      </w:pPr>
      <w:r>
        <w:t xml:space="preserve">Tra i diversi </w:t>
      </w:r>
      <w:r w:rsidR="00881DD9">
        <w:t>punti di contrasto che vedono su fronti contrapposti gli interessi</w:t>
      </w:r>
      <w:r>
        <w:t xml:space="preserve"> e le posizioni</w:t>
      </w:r>
      <w:r w:rsidR="00881DD9">
        <w:t xml:space="preserve"> degli enti </w:t>
      </w:r>
      <w:r>
        <w:t>pubblici</w:t>
      </w:r>
      <w:r w:rsidR="00881DD9">
        <w:t xml:space="preserve"> </w:t>
      </w:r>
      <w:r w:rsidR="008865B2">
        <w:t>con quell</w:t>
      </w:r>
      <w:r w:rsidR="00881DD9">
        <w:t xml:space="preserve">e delle società di erogazione, </w:t>
      </w:r>
      <w:r>
        <w:t>c’</w:t>
      </w:r>
      <w:r w:rsidR="00881DD9">
        <w:t>è il riconoscimento dell</w:t>
      </w:r>
      <w:r>
        <w:t xml:space="preserve">a specifica </w:t>
      </w:r>
      <w:r w:rsidR="00881DD9">
        <w:t>esenzione fissata alla lettera D del comma 833 della Legge 160/2019</w:t>
      </w:r>
      <w:r w:rsidR="009515EF">
        <w:t xml:space="preserve"> che prevede: “</w:t>
      </w:r>
      <w:r w:rsidR="009515EF" w:rsidRPr="009515EF">
        <w:rPr>
          <w:i/>
          <w:iCs/>
        </w:rPr>
        <w:t>Sono esenti dal canone: d) le occupazioni con impianti adibiti ai servizi pubblici nei casi in cui ne sia prevista, all'atto della concessione o successivamente, la devoluzione gratuita al comune al termine della concessione medesima;”</w:t>
      </w:r>
    </w:p>
    <w:p w14:paraId="6CBC8DED" w14:textId="77777777" w:rsidR="00740AF5" w:rsidRDefault="00740AF5" w:rsidP="009515EF">
      <w:pPr>
        <w:jc w:val="both"/>
      </w:pPr>
      <w:r>
        <w:t xml:space="preserve">Quante volte trova realmente applicazione l’ipotesi di esenzione? </w:t>
      </w:r>
    </w:p>
    <w:p w14:paraId="34F82576" w14:textId="1BE92273" w:rsidR="00740AF5" w:rsidRDefault="00454237" w:rsidP="009515EF">
      <w:pPr>
        <w:jc w:val="both"/>
      </w:pPr>
      <w:r>
        <w:t>In</w:t>
      </w:r>
      <w:r w:rsidR="00740AF5">
        <w:t xml:space="preserve"> </w:t>
      </w:r>
      <w:r w:rsidR="008865B2">
        <w:t xml:space="preserve">precedenti </w:t>
      </w:r>
      <w:r w:rsidR="00740AF5">
        <w:t>approfondimenti abbiamo visto come, p</w:t>
      </w:r>
      <w:r w:rsidR="009515EF">
        <w:t xml:space="preserve">er </w:t>
      </w:r>
      <w:r w:rsidR="00740AF5">
        <w:t>il riconoscimento</w:t>
      </w:r>
      <w:r w:rsidR="009515EF">
        <w:t xml:space="preserve"> dell’esenzione in parola</w:t>
      </w:r>
      <w:r w:rsidR="00740AF5">
        <w:t>,</w:t>
      </w:r>
      <w:r w:rsidR="009515EF">
        <w:t xml:space="preserve"> </w:t>
      </w:r>
      <w:r w:rsidR="00740AF5">
        <w:t>sia</w:t>
      </w:r>
      <w:r w:rsidR="009515EF">
        <w:t xml:space="preserve"> necessario che nella convenzione che regola il rapporto tra</w:t>
      </w:r>
      <w:r>
        <w:t xml:space="preserve"> </w:t>
      </w:r>
      <w:r>
        <w:t>la società affidataria</w:t>
      </w:r>
      <w:r>
        <w:t xml:space="preserve"> e</w:t>
      </w:r>
      <w:r w:rsidR="009515EF">
        <w:t xml:space="preserve"> l’ente locale</w:t>
      </w:r>
      <w:r w:rsidR="00740AF5">
        <w:t xml:space="preserve"> </w:t>
      </w:r>
      <w:r>
        <w:t>(</w:t>
      </w:r>
      <w:r w:rsidR="00740AF5">
        <w:t>e non un terzo soggetto)</w:t>
      </w:r>
      <w:r w:rsidR="009515EF">
        <w:t xml:space="preserve">, sia espressamente prevista la devoluzione gratuita </w:t>
      </w:r>
      <w:r>
        <w:t xml:space="preserve">(e non la restituzione) </w:t>
      </w:r>
      <w:r w:rsidR="009515EF">
        <w:t>a favore del</w:t>
      </w:r>
      <w:r w:rsidR="00740AF5">
        <w:t xml:space="preserve"> Comune</w:t>
      </w:r>
      <w:r w:rsidR="009515EF">
        <w:t xml:space="preserve">, al termine del contratto di servizio. </w:t>
      </w:r>
    </w:p>
    <w:p w14:paraId="03651C25" w14:textId="73582C03" w:rsidR="009515EF" w:rsidRDefault="009515EF" w:rsidP="009515EF">
      <w:pPr>
        <w:jc w:val="both"/>
        <w:rPr>
          <w:i/>
          <w:iCs/>
        </w:rPr>
      </w:pPr>
      <w:r>
        <w:t xml:space="preserve">Su questo tema interessante la posizione </w:t>
      </w:r>
      <w:r w:rsidR="00740AF5">
        <w:t xml:space="preserve">assunta </w:t>
      </w:r>
      <w:r>
        <w:t>d</w:t>
      </w:r>
      <w:r w:rsidR="00740AF5">
        <w:t>a</w:t>
      </w:r>
      <w:r>
        <w:t xml:space="preserve">lla Corte di Giustizia </w:t>
      </w:r>
      <w:r w:rsidR="00740AF5">
        <w:t>T</w:t>
      </w:r>
      <w:r>
        <w:t xml:space="preserve">ributaria dell’Emilia Romagna che, in occasione di un ricorso relativamente il servizio di raccolta rifiuti, scriveva: </w:t>
      </w:r>
      <w:r w:rsidRPr="009515EF">
        <w:rPr>
          <w:i/>
          <w:iCs/>
        </w:rPr>
        <w:t>“Il punto è che, nella convenzione di cui si è non è prevista alcuna devoluzione gratuita al comune.</w:t>
      </w:r>
      <w:r>
        <w:t xml:space="preserve"> </w:t>
      </w:r>
      <w:r w:rsidRPr="009515EF">
        <w:rPr>
          <w:i/>
          <w:iCs/>
        </w:rPr>
        <w:t>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2B728A3E" w14:textId="5AE798DD" w:rsidR="009515EF" w:rsidRDefault="009515EF" w:rsidP="009515EF">
      <w:pPr>
        <w:jc w:val="both"/>
      </w:pPr>
      <w:r w:rsidRPr="009515EF">
        <w:t>Concetto oltremodo chiaro e lineare</w:t>
      </w:r>
      <w:r w:rsidR="00740AF5">
        <w:t xml:space="preserve"> che richiama al rispetto delle condizioni necessarie per il riconoscimento dell’agevolazione</w:t>
      </w:r>
      <w:r w:rsidRPr="009515EF">
        <w:t xml:space="preserve">. </w:t>
      </w:r>
      <w:r w:rsidR="00740AF5">
        <w:t xml:space="preserve"> </w:t>
      </w:r>
      <w:r w:rsidRPr="009515EF">
        <w:t xml:space="preserve">Se non si realizza </w:t>
      </w:r>
      <w:r w:rsidR="00740AF5">
        <w:t>infatti</w:t>
      </w:r>
      <w:r w:rsidRPr="009515EF">
        <w:t xml:space="preserve"> esattamente la condizione posta alla base dell’ipotesi di esenzione (la devoluzione gratuita a favore del Comune), questa non potrà in alcun modo trovare applicazione</w:t>
      </w:r>
      <w:r>
        <w:t>, in base a</w:t>
      </w:r>
      <w:r w:rsidRPr="009515EF">
        <w:t>l principio secondo cui le norme fiscali di agevolazione devono sempre essere di stretta interpretazione</w:t>
      </w:r>
      <w:r>
        <w:t xml:space="preserve"> (</w:t>
      </w:r>
      <w:r w:rsidRPr="009515EF">
        <w:t>Corte di Cassazione n.11175 del 2004, n.14424 del 2010, n.15247 del 2015, n.11687 del 2017, n.25300 del 2017, n.19693 del 2018, n.34591 del 2021</w:t>
      </w:r>
      <w:r>
        <w:t>)</w:t>
      </w:r>
      <w:r w:rsidRPr="009515EF">
        <w:t>.</w:t>
      </w:r>
    </w:p>
    <w:p w14:paraId="07A68223" w14:textId="02BCCA65" w:rsidR="00740AF5" w:rsidRDefault="00740AF5" w:rsidP="009515EF">
      <w:pPr>
        <w:jc w:val="both"/>
      </w:pPr>
      <w:r>
        <w:t>Cosa accade quando l’infrastruttura soddisfa</w:t>
      </w:r>
      <w:r w:rsidR="006D5D57">
        <w:t xml:space="preserve"> solo</w:t>
      </w:r>
      <w:r>
        <w:t xml:space="preserve"> parzialmente la condizione</w:t>
      </w:r>
      <w:r w:rsidR="006D5D57">
        <w:t xml:space="preserve"> posta alla lettera D</w:t>
      </w:r>
      <w:r>
        <w:t>?</w:t>
      </w:r>
    </w:p>
    <w:p w14:paraId="144F3894" w14:textId="5EA4F974" w:rsidR="009515EF" w:rsidRDefault="00740AF5" w:rsidP="009515EF">
      <w:pPr>
        <w:jc w:val="both"/>
      </w:pPr>
      <w:r>
        <w:t>S</w:t>
      </w:r>
      <w:r w:rsidR="009515EF">
        <w:t xml:space="preserve">u questo </w:t>
      </w:r>
      <w:r>
        <w:t xml:space="preserve">specifico </w:t>
      </w:r>
      <w:r w:rsidR="00845EE3">
        <w:t>argomento</w:t>
      </w:r>
      <w:r>
        <w:t xml:space="preserve">, tutt’altro che raro specialmente in alcuni settori come quello della distribuzione del Gas </w:t>
      </w:r>
      <w:r w:rsidR="006D5D57">
        <w:t>metano, è davvero importante capire</w:t>
      </w:r>
      <w:r w:rsidR="009515EF">
        <w:t xml:space="preserve"> come intervenire e quantificare il canone </w:t>
      </w:r>
      <w:r w:rsidR="006D5D57">
        <w:t>dovuto allor</w:t>
      </w:r>
      <w:r w:rsidR="009515EF">
        <w:t xml:space="preserve">quando la rete </w:t>
      </w:r>
      <w:r w:rsidR="006D5D57">
        <w:t>presenta</w:t>
      </w:r>
      <w:r w:rsidR="009515EF">
        <w:t xml:space="preserve"> una storia complessa, fatta di infrastrutture </w:t>
      </w:r>
      <w:r w:rsidR="00845EE3">
        <w:t>realizzate</w:t>
      </w:r>
      <w:r w:rsidR="009515EF">
        <w:t xml:space="preserve"> ne</w:t>
      </w:r>
      <w:r w:rsidR="006D5D57">
        <w:t>l</w:t>
      </w:r>
      <w:r w:rsidR="009515EF">
        <w:t xml:space="preserve"> tempo da parte di </w:t>
      </w:r>
      <w:r w:rsidR="006D5D57">
        <w:t xml:space="preserve">diversi </w:t>
      </w:r>
      <w:r w:rsidR="009515EF">
        <w:t>concessionari</w:t>
      </w:r>
      <w:r w:rsidR="006C27EB">
        <w:t xml:space="preserve"> che hanno</w:t>
      </w:r>
      <w:r w:rsidR="00845EE3">
        <w:t>, nel corso del periodo di loro attività,</w:t>
      </w:r>
      <w:r w:rsidR="006C27EB">
        <w:t xml:space="preserve"> sia finanziato direttamente la costruzione, sia sfruttato</w:t>
      </w:r>
      <w:r w:rsidR="009515EF">
        <w:t xml:space="preserve"> finanziamenti pubblici per la </w:t>
      </w:r>
      <w:r w:rsidR="00A209BF">
        <w:t xml:space="preserve">loro </w:t>
      </w:r>
      <w:r w:rsidR="009515EF">
        <w:t xml:space="preserve">realizzazione. </w:t>
      </w:r>
    </w:p>
    <w:p w14:paraId="25A26A0A" w14:textId="40D2BC94" w:rsidR="00A209BF" w:rsidRDefault="00414F26" w:rsidP="009515EF">
      <w:pPr>
        <w:jc w:val="both"/>
      </w:pPr>
      <w:r>
        <w:lastRenderedPageBreak/>
        <w:t>Per cercare una risposta</w:t>
      </w:r>
      <w:r w:rsidR="00845EE3">
        <w:t xml:space="preserve"> al nostro interrogativo</w:t>
      </w:r>
      <w:r>
        <w:t>, è i</w:t>
      </w:r>
      <w:r w:rsidR="00A209BF">
        <w:t>nteressante</w:t>
      </w:r>
      <w:r>
        <w:t xml:space="preserve"> </w:t>
      </w:r>
      <w:proofErr w:type="gramStart"/>
      <w:r>
        <w:t xml:space="preserve">analizzare </w:t>
      </w:r>
      <w:r w:rsidR="00A209BF">
        <w:t xml:space="preserve"> la</w:t>
      </w:r>
      <w:proofErr w:type="gramEnd"/>
      <w:r w:rsidR="00A209BF">
        <w:t xml:space="preserve"> vicenda approdata davanti al Tribunale Ordinario di Sassari dove ad una azienda di erogazione del servizio Gas metano è stato contestato il mancato versamento del Canone per effetto della interpretazione</w:t>
      </w:r>
      <w:r w:rsidR="00845EE3">
        <w:t xml:space="preserve"> “estensiva”</w:t>
      </w:r>
      <w:r w:rsidR="00A209BF">
        <w:t xml:space="preserve"> data dalla compagnia proprio sull’applicazione dell</w:t>
      </w:r>
      <w:r w:rsidR="00845EE3">
        <w:t xml:space="preserve">a norma di </w:t>
      </w:r>
      <w:r w:rsidR="00A209BF">
        <w:t>esenzione di cui alla lettera D del comma 833.</w:t>
      </w:r>
    </w:p>
    <w:p w14:paraId="700DB3BA" w14:textId="66963CB0" w:rsidR="00A209BF" w:rsidRDefault="00A20C95" w:rsidP="009515EF">
      <w:pPr>
        <w:jc w:val="both"/>
        <w:rPr>
          <w:i/>
          <w:iCs/>
        </w:rPr>
      </w:pPr>
      <w:r>
        <w:t xml:space="preserve">Al contrario di quanto </w:t>
      </w:r>
      <w:proofErr w:type="gramStart"/>
      <w:r>
        <w:t xml:space="preserve">riteneva </w:t>
      </w:r>
      <w:r w:rsidR="00A209BF">
        <w:t xml:space="preserve"> la</w:t>
      </w:r>
      <w:proofErr w:type="gramEnd"/>
      <w:r w:rsidR="00A209BF">
        <w:t xml:space="preserve"> </w:t>
      </w:r>
      <w:r>
        <w:t>società</w:t>
      </w:r>
      <w:r w:rsidR="00B031D5">
        <w:t xml:space="preserve"> del Gas metano</w:t>
      </w:r>
      <w:r w:rsidR="00A209BF">
        <w:t xml:space="preserve"> </w:t>
      </w:r>
      <w:r>
        <w:t xml:space="preserve">sulla possibilità di </w:t>
      </w:r>
      <w:r w:rsidR="00A209BF">
        <w:t>godere dell’esenzione, i giudici sardi accoglievano la posizione dell’ente locale che disconosceva l’agevolazione. Si legge nella sentenza: “</w:t>
      </w:r>
      <w:r w:rsidR="00A209BF" w:rsidRPr="00A209BF">
        <w:rPr>
          <w:i/>
          <w:iCs/>
        </w:rPr>
        <w:t>come evidenziato da parte resistente, emerge dalle condizioni che regolano la concessione che le parti non hanno convenuto la retrocessione gratuita al comune di tutti gli impianti adibito al pubblico servizio ma esclusivamente la porzione di impianto coperti da finanziamento pubblico per la loro costituzione prevedendo a riguardo sia la valutazione effettiva degli stessi come risultanti dal registro indicato in contratto sia la determinazione del valore degli impianti finanziati direttamente applicando i valori di stima industriale.”</w:t>
      </w:r>
    </w:p>
    <w:p w14:paraId="5F9E0BF7" w14:textId="2D058531" w:rsidR="00B031D5" w:rsidRDefault="00B031D5" w:rsidP="009515EF">
      <w:pPr>
        <w:jc w:val="both"/>
        <w:rPr>
          <w:i/>
          <w:iCs/>
        </w:rPr>
      </w:pPr>
      <w:r>
        <w:t>I giudici proseguono specificando che: “</w:t>
      </w:r>
      <w:r w:rsidRPr="00902AD3">
        <w:rPr>
          <w:i/>
          <w:iCs/>
        </w:rPr>
        <w:t>La riportata convenzione comporta quindi che non sia stata prevista la retrocessione automatica degli impianti dal concessionario del pubblico servizio al Comune ma che la</w:t>
      </w:r>
      <w:r w:rsidR="00902AD3" w:rsidRPr="00902AD3">
        <w:rPr>
          <w:i/>
          <w:iCs/>
        </w:rPr>
        <w:t xml:space="preserve"> stessa avvenga a seguito di accertamento delle opere effettuate con finanziamenti pubblici scisse dalle opere eseguite con altro finanziamento che si può definire privato.</w:t>
      </w:r>
      <w:r w:rsidR="00902AD3">
        <w:rPr>
          <w:i/>
          <w:iCs/>
        </w:rPr>
        <w:t>”</w:t>
      </w:r>
    </w:p>
    <w:p w14:paraId="6F88FA6E" w14:textId="0C62604E" w:rsidR="00902AD3" w:rsidRDefault="00A20C95" w:rsidP="009515EF">
      <w:pPr>
        <w:jc w:val="both"/>
        <w:rPr>
          <w:i/>
          <w:iCs/>
        </w:rPr>
      </w:pPr>
      <w:r>
        <w:t>Nel caso affrontato dal Tribunale sardo s</w:t>
      </w:r>
      <w:r w:rsidR="00902AD3">
        <w:t>i respinge il ricorso venendo meno la precisa condizione prevista dalla lettera D del comma 833. Si legge nella sentenza: “</w:t>
      </w:r>
      <w:r w:rsidR="00902AD3" w:rsidRPr="00902AD3">
        <w:rPr>
          <w:i/>
          <w:iCs/>
        </w:rPr>
        <w:t xml:space="preserve">Viene in tal modo meno il presupposto semplice e chiaro previsto dall’art. 1 comma </w:t>
      </w:r>
      <w:r w:rsidR="00902AD3">
        <w:rPr>
          <w:i/>
          <w:iCs/>
        </w:rPr>
        <w:t>8</w:t>
      </w:r>
      <w:r w:rsidR="00902AD3" w:rsidRPr="00902AD3">
        <w:rPr>
          <w:i/>
          <w:iCs/>
        </w:rPr>
        <w:t>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p>
    <w:p w14:paraId="3A2C8ABF" w14:textId="4AC76F01" w:rsidR="00902AD3" w:rsidRDefault="00902AD3" w:rsidP="009515EF">
      <w:pPr>
        <w:jc w:val="both"/>
        <w:rPr>
          <w:i/>
          <w:iCs/>
        </w:rPr>
      </w:pPr>
      <w:r>
        <w:t xml:space="preserve">Il Tribunale di Sassari richiama infine l’orientamento consolidato di Cassazione secondo il quale le agevolazioni fiscali devono sempre essere di </w:t>
      </w:r>
      <w:r w:rsidR="008A2FD5">
        <w:t>stretta</w:t>
      </w:r>
      <w:r>
        <w:t xml:space="preserve"> interpretazione. Si legge: “</w:t>
      </w:r>
      <w:r w:rsidRPr="00902AD3">
        <w:rPr>
          <w:i/>
          <w:iCs/>
        </w:rPr>
        <w:t xml:space="preserve">Come correttamente sostenuto da parte resistente l’esenzione fiscale alla quale deve essere assimilato il Canone Unico Patrimoniale è di stretta interpretazione nella sussistenza dei presupposti e non consente in alcun modo né l’interpretazione analogica né la interpretazione estensiva come quella che si avrebbe con riferimento alle opere parzialmente eseguite con finanziamenti pubblici </w:t>
      </w:r>
      <w:proofErr w:type="gramStart"/>
      <w:r w:rsidRPr="00902AD3">
        <w:rPr>
          <w:i/>
          <w:iCs/>
        </w:rPr>
        <w:t>( Cass</w:t>
      </w:r>
      <w:proofErr w:type="gramEnd"/>
      <w:r w:rsidRPr="00902AD3">
        <w:rPr>
          <w:i/>
          <w:iCs/>
        </w:rPr>
        <w:t>.25982/2022; Cass.28055/2021; Cass.17976/2021; Cass.5638/</w:t>
      </w:r>
      <w:proofErr w:type="gramStart"/>
      <w:r w:rsidRPr="00902AD3">
        <w:rPr>
          <w:i/>
          <w:iCs/>
        </w:rPr>
        <w:t>2020 ;</w:t>
      </w:r>
      <w:proofErr w:type="gramEnd"/>
      <w:r w:rsidRPr="00902AD3">
        <w:rPr>
          <w:i/>
          <w:iCs/>
        </w:rPr>
        <w:t xml:space="preserve"> Cass. 31333/</w:t>
      </w:r>
      <w:proofErr w:type="gramStart"/>
      <w:r w:rsidRPr="00902AD3">
        <w:rPr>
          <w:i/>
          <w:iCs/>
        </w:rPr>
        <w:t>2019 ,</w:t>
      </w:r>
      <w:proofErr w:type="gramEnd"/>
      <w:r w:rsidRPr="00902AD3">
        <w:rPr>
          <w:i/>
          <w:iCs/>
        </w:rPr>
        <w:t xml:space="preserve"> sentenze recenti con applicazione del principio alle esenzioni con diversi tributi).</w:t>
      </w:r>
      <w:r>
        <w:rPr>
          <w:i/>
          <w:iCs/>
        </w:rPr>
        <w:t>”</w:t>
      </w:r>
    </w:p>
    <w:p w14:paraId="2AA4D40E" w14:textId="5E63D35D" w:rsidR="00902AD3" w:rsidRPr="00902AD3" w:rsidRDefault="008A2FD5" w:rsidP="009515EF">
      <w:pPr>
        <w:jc w:val="both"/>
      </w:pPr>
      <w:r>
        <w:t>In conclusione, deve</w:t>
      </w:r>
      <w:r w:rsidR="00902AD3">
        <w:t xml:space="preserve"> </w:t>
      </w:r>
      <w:r>
        <w:t>sempre</w:t>
      </w:r>
      <w:r w:rsidR="00902AD3">
        <w:t xml:space="preserve"> essere posta grande attenzione alla corretta interpretazione della norma,</w:t>
      </w:r>
      <w:r>
        <w:t xml:space="preserve"> </w:t>
      </w:r>
      <w:r w:rsidR="00902AD3">
        <w:t xml:space="preserve">verificando che le </w:t>
      </w:r>
      <w:r>
        <w:t xml:space="preserve">singole </w:t>
      </w:r>
      <w:r w:rsidR="00902AD3">
        <w:t>compagnie</w:t>
      </w:r>
      <w:r>
        <w:t xml:space="preserve"> </w:t>
      </w:r>
      <w:r w:rsidR="00902AD3">
        <w:t xml:space="preserve">non </w:t>
      </w:r>
      <w:r>
        <w:t xml:space="preserve">si auto riconoscano ipotesi </w:t>
      </w:r>
      <w:r w:rsidR="00902AD3">
        <w:t>di esenzione senza averne i requisiti.</w:t>
      </w:r>
    </w:p>
    <w:p w14:paraId="4F16B347" w14:textId="77777777" w:rsidR="00A209BF" w:rsidRDefault="00A209BF" w:rsidP="009515EF">
      <w:pPr>
        <w:jc w:val="both"/>
      </w:pPr>
    </w:p>
    <w:p w14:paraId="74297CBE" w14:textId="77777777" w:rsidR="009515EF" w:rsidRDefault="009515EF" w:rsidP="009515EF">
      <w:pPr>
        <w:jc w:val="both"/>
      </w:pPr>
    </w:p>
    <w:p w14:paraId="7E973623" w14:textId="77777777" w:rsidR="009515EF" w:rsidRPr="009515EF" w:rsidRDefault="009515EF" w:rsidP="009515EF">
      <w:pPr>
        <w:jc w:val="both"/>
      </w:pPr>
    </w:p>
    <w:sectPr w:rsidR="009515EF" w:rsidRPr="009515E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79"/>
    <w:rsid w:val="00060149"/>
    <w:rsid w:val="00414F26"/>
    <w:rsid w:val="00432BE3"/>
    <w:rsid w:val="00454237"/>
    <w:rsid w:val="00535D4F"/>
    <w:rsid w:val="006C27EB"/>
    <w:rsid w:val="006D5D57"/>
    <w:rsid w:val="00740AF5"/>
    <w:rsid w:val="007B1496"/>
    <w:rsid w:val="00845EE3"/>
    <w:rsid w:val="00881DD9"/>
    <w:rsid w:val="008865B2"/>
    <w:rsid w:val="008A2FD5"/>
    <w:rsid w:val="00902AD3"/>
    <w:rsid w:val="009515EF"/>
    <w:rsid w:val="00A209BF"/>
    <w:rsid w:val="00A20C95"/>
    <w:rsid w:val="00B031D5"/>
    <w:rsid w:val="00B65FC1"/>
    <w:rsid w:val="00C01C79"/>
    <w:rsid w:val="00C1167C"/>
    <w:rsid w:val="00DA36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8CBE"/>
  <w15:chartTrackingRefBased/>
  <w15:docId w15:val="{2EB72AF7-5F33-449B-962A-A221EEFBF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0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0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01C7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01C7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01C7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01C7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01C7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01C7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01C7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01C7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01C7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01C7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01C7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01C7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01C7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01C7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01C7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01C79"/>
    <w:rPr>
      <w:rFonts w:eastAsiaTheme="majorEastAsia" w:cstheme="majorBidi"/>
      <w:color w:val="272727" w:themeColor="text1" w:themeTint="D8"/>
    </w:rPr>
  </w:style>
  <w:style w:type="paragraph" w:styleId="Titolo">
    <w:name w:val="Title"/>
    <w:basedOn w:val="Normale"/>
    <w:next w:val="Normale"/>
    <w:link w:val="TitoloCarattere"/>
    <w:uiPriority w:val="10"/>
    <w:qFormat/>
    <w:rsid w:val="00C0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01C7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01C7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01C7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01C7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01C79"/>
    <w:rPr>
      <w:i/>
      <w:iCs/>
      <w:color w:val="404040" w:themeColor="text1" w:themeTint="BF"/>
    </w:rPr>
  </w:style>
  <w:style w:type="paragraph" w:styleId="Paragrafoelenco">
    <w:name w:val="List Paragraph"/>
    <w:basedOn w:val="Normale"/>
    <w:uiPriority w:val="34"/>
    <w:qFormat/>
    <w:rsid w:val="00C01C79"/>
    <w:pPr>
      <w:ind w:left="720"/>
      <w:contextualSpacing/>
    </w:pPr>
  </w:style>
  <w:style w:type="character" w:styleId="Enfasiintensa">
    <w:name w:val="Intense Emphasis"/>
    <w:basedOn w:val="Carpredefinitoparagrafo"/>
    <w:uiPriority w:val="21"/>
    <w:qFormat/>
    <w:rsid w:val="00C01C79"/>
    <w:rPr>
      <w:i/>
      <w:iCs/>
      <w:color w:val="2F5496" w:themeColor="accent1" w:themeShade="BF"/>
    </w:rPr>
  </w:style>
  <w:style w:type="paragraph" w:styleId="Citazioneintensa">
    <w:name w:val="Intense Quote"/>
    <w:basedOn w:val="Normale"/>
    <w:next w:val="Normale"/>
    <w:link w:val="CitazioneintensaCarattere"/>
    <w:uiPriority w:val="30"/>
    <w:qFormat/>
    <w:rsid w:val="00C0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01C79"/>
    <w:rPr>
      <w:i/>
      <w:iCs/>
      <w:color w:val="2F5496" w:themeColor="accent1" w:themeShade="BF"/>
    </w:rPr>
  </w:style>
  <w:style w:type="character" w:styleId="Riferimentointenso">
    <w:name w:val="Intense Reference"/>
    <w:basedOn w:val="Carpredefinitoparagrafo"/>
    <w:uiPriority w:val="32"/>
    <w:qFormat/>
    <w:rsid w:val="00C01C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1062</Words>
  <Characters>6054</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7</cp:revision>
  <dcterms:created xsi:type="dcterms:W3CDTF">2025-07-23T12:37:00Z</dcterms:created>
  <dcterms:modified xsi:type="dcterms:W3CDTF">2025-07-25T14:19:00Z</dcterms:modified>
</cp:coreProperties>
</file>