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7C02" w14:textId="6EC6D28B" w:rsidR="00060149" w:rsidRDefault="003956DC">
      <w:r>
        <w:t>Titolo: le modalità di rilievo degli impianti pubblicitari</w:t>
      </w:r>
      <w:r w:rsidR="00A112CE">
        <w:t xml:space="preserve"> e la figura dell’Accertatore delle entrate</w:t>
      </w:r>
    </w:p>
    <w:p w14:paraId="7D95446D" w14:textId="3D065B39" w:rsidR="003956DC" w:rsidRDefault="003956DC">
      <w:r>
        <w:t>Di Alessandro Merciari</w:t>
      </w:r>
    </w:p>
    <w:p w14:paraId="1CCC4BFA" w14:textId="77777777" w:rsidR="003956DC" w:rsidRDefault="003956DC"/>
    <w:p w14:paraId="356FF417" w14:textId="146D1032" w:rsidR="003956DC" w:rsidRDefault="00A112CE" w:rsidP="003956DC">
      <w:pPr>
        <w:jc w:val="both"/>
      </w:pPr>
      <w:r>
        <w:t>Importante</w:t>
      </w:r>
      <w:r w:rsidR="003956DC">
        <w:t xml:space="preserve"> sentenza del Tribunale di Lecce che</w:t>
      </w:r>
      <w:r>
        <w:t>,</w:t>
      </w:r>
      <w:r w:rsidR="003956DC">
        <w:t xml:space="preserve"> </w:t>
      </w:r>
      <w:r>
        <w:t>con riferimento ad una causa</w:t>
      </w:r>
      <w:r w:rsidR="003956DC">
        <w:t xml:space="preserve"> </w:t>
      </w:r>
      <w:r>
        <w:t xml:space="preserve">in </w:t>
      </w:r>
      <w:r w:rsidR="003956DC">
        <w:t xml:space="preserve">opposizione avverso </w:t>
      </w:r>
      <w:r>
        <w:t xml:space="preserve">un </w:t>
      </w:r>
      <w:r w:rsidR="003956DC">
        <w:t>avviso di accertamento</w:t>
      </w:r>
      <w:r>
        <w:t xml:space="preserve"> CUP,</w:t>
      </w:r>
      <w:r w:rsidR="003956DC">
        <w:t xml:space="preserve"> si esprime sul lavoro </w:t>
      </w:r>
      <w:r>
        <w:t>eseguito</w:t>
      </w:r>
      <w:r w:rsidR="003956DC">
        <w:t xml:space="preserve"> dall’</w:t>
      </w:r>
      <w:r>
        <w:t>A</w:t>
      </w:r>
      <w:r w:rsidR="003956DC">
        <w:t>ccerta</w:t>
      </w:r>
      <w:r>
        <w:t>tore</w:t>
      </w:r>
      <w:r w:rsidR="003956DC">
        <w:t xml:space="preserve"> delle </w:t>
      </w:r>
      <w:r>
        <w:t>E</w:t>
      </w:r>
      <w:r w:rsidR="003956DC">
        <w:t>ntrate ex comma 179 Legge 196/2006 nella sua qualità di Pubblico Ufficiale.</w:t>
      </w:r>
    </w:p>
    <w:p w14:paraId="352AE9B8" w14:textId="2492A34C" w:rsidR="003956DC" w:rsidRDefault="003956DC" w:rsidP="003956DC">
      <w:pPr>
        <w:jc w:val="both"/>
      </w:pPr>
      <w:r>
        <w:t>In particolare la vertenza tratta del corretto criterio di misurazione di alcuni “fascioni</w:t>
      </w:r>
      <w:r w:rsidR="00A112CE">
        <w:t xml:space="preserve"> pubblicitari</w:t>
      </w:r>
      <w:r>
        <w:t>” o fasce cromatiche realizzate presso un</w:t>
      </w:r>
      <w:r w:rsidR="00A112CE">
        <w:t xml:space="preserve">a stazione di servizio </w:t>
      </w:r>
      <w:r>
        <w:t>di una primaria compagnia di carburanti.</w:t>
      </w:r>
    </w:p>
    <w:p w14:paraId="54FFA703" w14:textId="3EFF8934" w:rsidR="003956DC" w:rsidRDefault="003956DC" w:rsidP="003956DC">
      <w:pPr>
        <w:jc w:val="both"/>
      </w:pPr>
      <w:r>
        <w:t xml:space="preserve">Sull’attrazione di queste speciali forme di diffusione pubblicitarie avevamo già scritto un approfondimento </w:t>
      </w:r>
      <w:r w:rsidR="00A112CE">
        <w:t xml:space="preserve">specifico </w:t>
      </w:r>
      <w:r>
        <w:t xml:space="preserve">lo scorso 15 novembre 2024 dal titolo </w:t>
      </w:r>
      <w:r w:rsidRPr="003956DC">
        <w:rPr>
          <w:i/>
          <w:iCs/>
        </w:rPr>
        <w:t>“Le fasce cromatiche generano presupposto pubblicitario”</w:t>
      </w:r>
      <w:r>
        <w:t xml:space="preserve"> andando a commentare </w:t>
      </w:r>
      <w:r w:rsidR="00A112CE">
        <w:t xml:space="preserve">in particolare </w:t>
      </w:r>
      <w:r>
        <w:t>la posizione della Corte di Giustizia Tributaria di primo grado di Perugia con la sentenza numero 120/2024 depositata il 21/05/2024.</w:t>
      </w:r>
    </w:p>
    <w:p w14:paraId="10260D8A" w14:textId="51562605" w:rsidR="003956DC" w:rsidRPr="003956DC" w:rsidRDefault="003956DC" w:rsidP="003956DC">
      <w:pPr>
        <w:jc w:val="both"/>
      </w:pPr>
      <w:r>
        <w:t>I</w:t>
      </w:r>
      <w:r w:rsidRPr="003956DC">
        <w:t xml:space="preserve">l tema </w:t>
      </w:r>
      <w:r>
        <w:t>era</w:t>
      </w:r>
      <w:r w:rsidRPr="003956DC">
        <w:t xml:space="preserve"> se il fascione che completa il mezzo pubblicitario, caratterizzato dai colori distintivi</w:t>
      </w:r>
      <w:r>
        <w:t xml:space="preserve"> </w:t>
      </w:r>
      <w:r w:rsidRPr="003956DC">
        <w:t>dell’azienda, po</w:t>
      </w:r>
      <w:r>
        <w:t>tesse</w:t>
      </w:r>
      <w:r w:rsidRPr="003956DC">
        <w:t xml:space="preserve"> o meno ritenersi come attrattivo all’occhio distratto del passante, e di</w:t>
      </w:r>
      <w:r>
        <w:t xml:space="preserve"> </w:t>
      </w:r>
      <w:r w:rsidRPr="003956DC">
        <w:t>conseguenza generare anch’esso presupposto per l’applicazione del prelievo dedicato alle</w:t>
      </w:r>
      <w:r w:rsidR="00C82D85">
        <w:t xml:space="preserve"> </w:t>
      </w:r>
      <w:r w:rsidRPr="003956DC">
        <w:t>iniziative pubblicitarie.</w:t>
      </w:r>
    </w:p>
    <w:p w14:paraId="34662719" w14:textId="754586A1" w:rsidR="003956DC" w:rsidRPr="003956DC" w:rsidRDefault="003956DC" w:rsidP="003956DC">
      <w:pPr>
        <w:jc w:val="both"/>
      </w:pPr>
      <w:r w:rsidRPr="003956DC">
        <w:t>Rit</w:t>
      </w:r>
      <w:r w:rsidR="00C82D85">
        <w:t>enne</w:t>
      </w:r>
      <w:r w:rsidRPr="003956DC">
        <w:t xml:space="preserve"> </w:t>
      </w:r>
      <w:r w:rsidR="00A112CE">
        <w:t xml:space="preserve">n quell’occasione </w:t>
      </w:r>
      <w:r w:rsidRPr="003956DC">
        <w:t>la Corte che la distinzione cromatica in strisce blu e arancioni sui fascioni laterali delle</w:t>
      </w:r>
      <w:r w:rsidR="00C82D85">
        <w:t xml:space="preserve"> </w:t>
      </w:r>
      <w:r w:rsidRPr="003956DC">
        <w:t xml:space="preserve">pensiline operata dalla società </w:t>
      </w:r>
      <w:r w:rsidR="00A112CE">
        <w:t>fosse</w:t>
      </w:r>
      <w:r w:rsidRPr="003956DC">
        <w:t xml:space="preserve"> idonea a captare la attenzione degli automobilisti, poiché si</w:t>
      </w:r>
      <w:r w:rsidR="00C82D85">
        <w:t xml:space="preserve"> </w:t>
      </w:r>
      <w:r w:rsidRPr="003956DC">
        <w:t>tratta di una striscia che per tonalità e modalità di esteriorizzazione la renda un unicum nel</w:t>
      </w:r>
      <w:r w:rsidR="00C82D85">
        <w:t xml:space="preserve"> </w:t>
      </w:r>
      <w:r w:rsidRPr="003956DC">
        <w:t>panorama pubblicitario italiano.</w:t>
      </w:r>
    </w:p>
    <w:p w14:paraId="00FB63E5" w14:textId="7A3088E5" w:rsidR="003956DC" w:rsidRPr="003956DC" w:rsidRDefault="003956DC" w:rsidP="003956DC">
      <w:pPr>
        <w:jc w:val="both"/>
      </w:pPr>
      <w:r w:rsidRPr="003956DC">
        <w:t>In passato, con il precedente prelievo Imposta Comunale sulla Pubblicità, anche la Corte di</w:t>
      </w:r>
      <w:r w:rsidR="00C82D85">
        <w:t xml:space="preserve"> </w:t>
      </w:r>
      <w:r w:rsidRPr="003956DC">
        <w:t>Cassazione si era espressa, ravvisando come elementi cromatici di strutture poste presso attività</w:t>
      </w:r>
      <w:r w:rsidR="00C82D85">
        <w:t xml:space="preserve"> </w:t>
      </w:r>
      <w:r w:rsidRPr="003956DC">
        <w:t>economiche rappresentassero iniziative volte a migliorare l’immagine del soggetto pubblicizzato e</w:t>
      </w:r>
      <w:r w:rsidR="00C82D85">
        <w:t xml:space="preserve"> </w:t>
      </w:r>
      <w:r w:rsidRPr="003956DC">
        <w:t>a creare un effetto visivo di attrazione verso la potenziale clientela di un prodotto o di un servizio.</w:t>
      </w:r>
    </w:p>
    <w:p w14:paraId="62E4A4C1" w14:textId="21055C91" w:rsidR="003956DC" w:rsidRDefault="003956DC" w:rsidP="003956DC">
      <w:pPr>
        <w:jc w:val="both"/>
        <w:rPr>
          <w:i/>
          <w:iCs/>
        </w:rPr>
      </w:pPr>
      <w:r w:rsidRPr="003956DC">
        <w:t>Si ricorda a questo proposito che rientrano nel presupposto pubblicitario tutte le forme di</w:t>
      </w:r>
      <w:r w:rsidR="00C82D85">
        <w:t xml:space="preserve"> </w:t>
      </w:r>
      <w:r w:rsidRPr="003956DC">
        <w:t>comunicazione aventi ad oggetto idee, beni o servizi, attuata attraverso specifici supporti al fine di</w:t>
      </w:r>
      <w:r w:rsidR="00C82D85">
        <w:t xml:space="preserve"> </w:t>
      </w:r>
      <w:r w:rsidRPr="003956DC">
        <w:t>orientare l’interesse del pubblico verso un prodotto, una persona, o una organizzazione pubblica privata. Così come prevedeva già la Direttiva Comunitaria CEE n. 84/450 del 1984 che</w:t>
      </w:r>
      <w:r w:rsidR="00C82D85">
        <w:t xml:space="preserve"> </w:t>
      </w:r>
      <w:r w:rsidRPr="003956DC">
        <w:t>considerava iniziativa pubblicitaria “</w:t>
      </w:r>
      <w:r w:rsidRPr="003956DC">
        <w:rPr>
          <w:i/>
          <w:iCs/>
        </w:rPr>
        <w:t>qualsiasi forma di messaggio che sia diffuso, in qualsiasi modo,</w:t>
      </w:r>
      <w:r w:rsidR="00C82D85">
        <w:rPr>
          <w:i/>
          <w:iCs/>
        </w:rPr>
        <w:t xml:space="preserve"> </w:t>
      </w:r>
      <w:r w:rsidRPr="003956DC">
        <w:rPr>
          <w:i/>
          <w:iCs/>
        </w:rPr>
        <w:t>nell’esercizio di un’attività commerciale, industriale, artigianale o professionale allo scopo di</w:t>
      </w:r>
      <w:r w:rsidR="00C82D85">
        <w:rPr>
          <w:i/>
          <w:iCs/>
        </w:rPr>
        <w:t xml:space="preserve"> </w:t>
      </w:r>
      <w:r w:rsidRPr="003956DC">
        <w:rPr>
          <w:i/>
          <w:iCs/>
        </w:rPr>
        <w:t>promuovere la vendita di beni mobili o immobili”.</w:t>
      </w:r>
    </w:p>
    <w:p w14:paraId="1D486AF5" w14:textId="238A3369" w:rsidR="00C82D85" w:rsidRDefault="00C82D85" w:rsidP="003956DC">
      <w:pPr>
        <w:jc w:val="both"/>
      </w:pPr>
      <w:r>
        <w:t>Con la sentenza oggi in commento il Giudice del Tribunale di Lecce scrive:</w:t>
      </w:r>
    </w:p>
    <w:p w14:paraId="48D16CC8" w14:textId="77777777" w:rsidR="00C82D85" w:rsidRDefault="00C82D85" w:rsidP="00C82D85">
      <w:pPr>
        <w:jc w:val="both"/>
        <w:rPr>
          <w:i/>
          <w:iCs/>
        </w:rPr>
      </w:pPr>
      <w:r w:rsidRPr="00C82D85">
        <w:rPr>
          <w:i/>
          <w:iCs/>
        </w:rPr>
        <w:t>“sempre la Corte di legittimità, pronunciandosi anche con riguardo ai “fascioni pubblicitari” presenti su altri distributori di carburante, ha confermato l’applicazione dell’imposta di pubblicità sui fascioni “dando rilievo al fatto che non vi era separazione grafica tra il marchio e il resto della superficie … È evidente che tale considerazione è proprio quella che ha effettuato la CTR, laddove, in ragione della continuità grafica tra il segno distintivo e il resto del fascione ha ritenuto tassabile l’intera superficie, proprio in qualità di intera superficie pubblicitaria” (Corte di Cassazione Ordinanza, 21 giugno 2021, n. 17623 – doc. 16).</w:t>
      </w:r>
    </w:p>
    <w:p w14:paraId="2DFE6B2E" w14:textId="4BB062F7" w:rsidR="00C82D85" w:rsidRDefault="00C82D85" w:rsidP="00C82D85">
      <w:pPr>
        <w:jc w:val="both"/>
        <w:rPr>
          <w:i/>
          <w:iCs/>
        </w:rPr>
      </w:pPr>
      <w:r w:rsidRPr="00C82D85">
        <w:rPr>
          <w:i/>
          <w:iCs/>
        </w:rPr>
        <w:t xml:space="preserve">Orbene, avendo i “fascioni pubblicitari” oggetto del presente giudizio i colori giallo e grigio, evocativi del marchio Eni, non possono che configurarsi in impianti di diffusione pubblicitaria e, pertanto, oggetto di pagamento del relativo canone, in quanto anche in questo caso, come confermato dalla recente giurisprudenza di legittimità sopra richiamata, il potere evocativo del colore del marchio di fabbrica è sintomatico del marchio pubblicizzato, tenuto conto dell'identità, della dimensione dell'impianto pubblicitario, </w:t>
      </w:r>
      <w:r w:rsidRPr="00C82D85">
        <w:rPr>
          <w:i/>
          <w:iCs/>
        </w:rPr>
        <w:lastRenderedPageBreak/>
        <w:t>e del colore dello stesso, circostanze queste che consentono al fascione posto sulla pensilina di svolgere quella forma evocativa che è propria del messaggio pubblicitario.”</w:t>
      </w:r>
    </w:p>
    <w:p w14:paraId="6CD3B7CD" w14:textId="28BA514E" w:rsidR="00283CF6" w:rsidRDefault="00C82D85" w:rsidP="00F825B1">
      <w:pPr>
        <w:jc w:val="both"/>
      </w:pPr>
      <w:r>
        <w:t>Oltre a prendere una posizione rilevante sul criterio di applicazione del CUP ai fascioni</w:t>
      </w:r>
      <w:r w:rsidR="00F825B1">
        <w:t xml:space="preserve"> pubblicitari</w:t>
      </w:r>
      <w:r>
        <w:t xml:space="preserve">, andando in continuità con la recente giurisprudenza di merito e di legittimità, il Giudice del </w:t>
      </w:r>
      <w:r w:rsidR="00F825B1">
        <w:t>T</w:t>
      </w:r>
      <w:r>
        <w:t xml:space="preserve">ribunale di Lecce, specifica come le modalità seguite </w:t>
      </w:r>
      <w:r w:rsidR="00F825B1">
        <w:t>dal personale incaricato a</w:t>
      </w:r>
      <w:r w:rsidR="0081702D">
        <w:t xml:space="preserve">lla rilevazione degli oggetti imponibili ai fini CUP, non possono </w:t>
      </w:r>
      <w:r w:rsidR="00C068EA">
        <w:t xml:space="preserve">in ogni caso </w:t>
      </w:r>
      <w:r w:rsidR="0081702D">
        <w:t xml:space="preserve">essere </w:t>
      </w:r>
      <w:r w:rsidR="00F825B1">
        <w:t xml:space="preserve">messe in discussione stante le caratteristiche degli agenti accertatori quali Pubblici Ufficiali. Nella sentenza si legge: </w:t>
      </w:r>
    </w:p>
    <w:p w14:paraId="2FE4A841" w14:textId="70BD4A45" w:rsidR="00C82D85" w:rsidRDefault="00F825B1" w:rsidP="00F825B1">
      <w:pPr>
        <w:jc w:val="both"/>
        <w:rPr>
          <w:i/>
          <w:iCs/>
        </w:rPr>
      </w:pPr>
      <w:r w:rsidRPr="00283CF6">
        <w:rPr>
          <w:i/>
          <w:iCs/>
        </w:rPr>
        <w:t xml:space="preserve">“ Inoltre, diversamente da quanto asserito dalla </w:t>
      </w:r>
      <w:r w:rsidR="00283CF6">
        <w:rPr>
          <w:i/>
          <w:iCs/>
        </w:rPr>
        <w:t xml:space="preserve">Parte </w:t>
      </w:r>
      <w:r w:rsidRPr="00283CF6">
        <w:rPr>
          <w:i/>
          <w:iCs/>
        </w:rPr>
        <w:t>ai fini della legittimità dell’avviso di accertamento impugnato, a nulla rileva l’omessa indicazione delle modalità di rilevazione, essendo enunciata nell’atto impugnato la superficie rilevata per il computo del canone. Quanto verificato dagli agenti accertatori della concessionaria convenuta e trasfuso nell’avviso di accertamento opposto, gode di fede privilegiata ex artt. 2699 e 2700 cod. civ., come chiarito dalla giurisprudenza di legittimità (cfr. Corte di Cassazione, Sezione TRI, Civile, Sentenza 7 febbraio 2008, n. 2819 e Corte di Cassazione</w:t>
      </w:r>
      <w:r w:rsidR="00283CF6" w:rsidRPr="00283CF6">
        <w:rPr>
          <w:i/>
          <w:iCs/>
        </w:rPr>
        <w:t xml:space="preserve"> </w:t>
      </w:r>
      <w:r w:rsidRPr="00283CF6">
        <w:rPr>
          <w:i/>
          <w:iCs/>
        </w:rPr>
        <w:t>sentenza n. 7075/2020).</w:t>
      </w:r>
      <w:r w:rsidR="00283CF6" w:rsidRPr="00283CF6">
        <w:rPr>
          <w:i/>
          <w:iCs/>
        </w:rPr>
        <w:t>”</w:t>
      </w:r>
    </w:p>
    <w:p w14:paraId="7C8BC77A" w14:textId="409FDB9F" w:rsidR="00FB47EA" w:rsidRPr="00FB47EA" w:rsidRDefault="00FB47EA" w:rsidP="00FB47EA">
      <w:r>
        <w:t xml:space="preserve">In particolare nella sentenza della Corte di Cassazione numero 7075 del </w:t>
      </w:r>
      <w:r w:rsidRPr="00FB47EA">
        <w:t>12 marzo 2020</w:t>
      </w:r>
      <w:r>
        <w:t xml:space="preserve"> </w:t>
      </w:r>
      <w:r w:rsidR="00DB02FA">
        <w:t xml:space="preserve">i giudici della Cassazione </w:t>
      </w:r>
      <w:r>
        <w:t>s</w:t>
      </w:r>
      <w:r w:rsidR="00DB02FA">
        <w:t>crivono</w:t>
      </w:r>
      <w:r>
        <w:t>:</w:t>
      </w:r>
    </w:p>
    <w:p w14:paraId="2B3735F5" w14:textId="6E512959" w:rsidR="00FB47EA" w:rsidRDefault="00FB47EA" w:rsidP="00F825B1">
      <w:pPr>
        <w:jc w:val="both"/>
        <w:rPr>
          <w:i/>
          <w:iCs/>
        </w:rPr>
      </w:pPr>
      <w:r w:rsidRPr="00FB47EA">
        <w:rPr>
          <w:i/>
          <w:iCs/>
        </w:rPr>
        <w:t>“</w:t>
      </w:r>
      <w:r w:rsidRPr="00FB47EA">
        <w:rPr>
          <w:i/>
          <w:iCs/>
        </w:rPr>
        <w:t>Va ricordato che </w:t>
      </w:r>
      <w:r w:rsidRPr="00FB47EA">
        <w:rPr>
          <w:b/>
          <w:bCs/>
          <w:i/>
          <w:iCs/>
        </w:rPr>
        <w:t>ai fini della determinazione dei requisiti necessari per la assunzione della qualità di pubblico ufficiale o dì pubblico servizio, sin dalla entrata in vigore della L. 26 aprile 1990 n. 86, non ha rilievo la forma giuridica dell’ente e la sua costituzione secondo le norme del diritto pubblico o dei diritto privato, ma ha rilevo esclusivo la natura delle funzioni esercitate, che devono essere inquadrabili tra quelle della pubblica amministrazione</w:t>
      </w:r>
      <w:r w:rsidRPr="00FB47EA">
        <w:rPr>
          <w:i/>
          <w:iCs/>
        </w:rPr>
        <w:t>. La funzione è pubblica quando è disciplinata da norme di diritto pubblico o da atti autoritativi (art. 357, secondo comma), è noto poi che, nell’ambito dei soggetti che svolgono funzioni pubbliche, la </w:t>
      </w:r>
      <w:r w:rsidRPr="00FB47EA">
        <w:rPr>
          <w:b/>
          <w:bCs/>
          <w:i/>
          <w:iCs/>
        </w:rPr>
        <w:t>qualifica di pubblico ufficiale</w:t>
      </w:r>
      <w:r w:rsidRPr="00FB47EA">
        <w:rPr>
          <w:i/>
          <w:iCs/>
        </w:rPr>
        <w:t xml:space="preserve"> è riservata a coloro che formano (o concorrono a formare) la volontà della pubblica amministrazione o a coloro che svolgono tale attività per mezzo di poteri autoritativi o certificativi, mentre quella di incaricato di pubblico servizio è assegnata dalia legge, in via residuale (art. 358 c.p.), a coloro che non svolgano pubbliche funzioni nei sensi ora precisati, ma che non curino neppure mansioni di ordine e non prestino opera semplicemente materiale. Fatte tali premesse, non v’è dubbio che l’attività del dipendente </w:t>
      </w:r>
      <w:proofErr w:type="spellStart"/>
      <w:r w:rsidRPr="00FB47EA">
        <w:rPr>
          <w:i/>
          <w:iCs/>
        </w:rPr>
        <w:t>dell’E</w:t>
      </w:r>
      <w:proofErr w:type="spellEnd"/>
      <w:r w:rsidRPr="00FB47EA">
        <w:rPr>
          <w:i/>
          <w:iCs/>
        </w:rPr>
        <w:t>. – rientrante tra gli organismi erogatori di un pubblico servizio disciplinato da norme di natura pubblica -, incaricati della esazione dei pagamenti dei compensi dovuti all’ente rientrano tra quelle del pubblico ufficiale o dell’incaricato del pubblico servizio, e attribuiscono pubblica fede a quanto da essi accertato</w:t>
      </w:r>
      <w:r w:rsidRPr="00FB47EA">
        <w:rPr>
          <w:i/>
          <w:iCs/>
        </w:rPr>
        <w:t>”</w:t>
      </w:r>
    </w:p>
    <w:p w14:paraId="0D2C1617" w14:textId="3BE446D5" w:rsidR="00DB02FA" w:rsidRDefault="00DB02FA" w:rsidP="00F825B1">
      <w:pPr>
        <w:jc w:val="both"/>
      </w:pPr>
      <w:r>
        <w:t>Mentre nella sentenza 2819 del 7 febbraio 2008, in relazione ad una causa relativa l’occupazione di suolo nell’ambito del mercato di Porta Portese a Roma, si stabiliva che:</w:t>
      </w:r>
    </w:p>
    <w:p w14:paraId="614D8B19" w14:textId="77777777" w:rsidR="00DB02FA" w:rsidRPr="00DB02FA" w:rsidRDefault="00DB02FA" w:rsidP="00DB02FA">
      <w:pPr>
        <w:shd w:val="clear" w:color="auto" w:fill="FFFFFF"/>
        <w:jc w:val="both"/>
        <w:rPr>
          <w:i/>
          <w:iCs/>
        </w:rPr>
      </w:pPr>
      <w:r w:rsidRPr="00DB02FA">
        <w:rPr>
          <w:i/>
          <w:iCs/>
        </w:rPr>
        <w:t>“</w:t>
      </w:r>
      <w:r w:rsidRPr="00DB02FA">
        <w:rPr>
          <w:i/>
          <w:iCs/>
        </w:rPr>
        <w:t>ha violato le disposizioni dell'</w:t>
      </w:r>
      <w:hyperlink r:id="rId4" w:history="1">
        <w:r w:rsidRPr="00DB02FA">
          <w:rPr>
            <w:i/>
            <w:iCs/>
          </w:rPr>
          <w:t>art. 2697 c.c.</w:t>
        </w:r>
      </w:hyperlink>
      <w:r w:rsidRPr="00DB02FA">
        <w:rPr>
          <w:i/>
          <w:iCs/>
        </w:rPr>
        <w:t> “sull'onere della prova” essendo l'”accertamento tributario... supportato da un verbale di un pubblico ufficiale, non impugnato a suo tempo e quindi divenuto inoppugnabile” e non avendo il V. “fornito alcun elemento concreto che potesse smentire le risultanze di tale atto”;</w:t>
      </w:r>
    </w:p>
    <w:p w14:paraId="741A0E14" w14:textId="77777777" w:rsidR="00DB02FA" w:rsidRDefault="00DB02FA" w:rsidP="00DB02FA">
      <w:pPr>
        <w:shd w:val="clear" w:color="auto" w:fill="FFFFFF"/>
        <w:spacing w:after="0" w:line="240" w:lineRule="auto"/>
        <w:jc w:val="both"/>
      </w:pPr>
      <w:r w:rsidRPr="00DB02FA">
        <w:t>I giudici precisano che:</w:t>
      </w:r>
    </w:p>
    <w:p w14:paraId="2706692B" w14:textId="77777777" w:rsidR="00DB02FA" w:rsidRDefault="00DB02FA" w:rsidP="00DB02FA">
      <w:pPr>
        <w:shd w:val="clear" w:color="auto" w:fill="FFFFFF"/>
        <w:spacing w:after="0" w:line="240" w:lineRule="auto"/>
        <w:jc w:val="both"/>
      </w:pPr>
    </w:p>
    <w:p w14:paraId="439B8FA3" w14:textId="269B1878" w:rsidR="00DB02FA" w:rsidRPr="00DB02FA" w:rsidRDefault="00DB02FA" w:rsidP="00DB02FA">
      <w:pPr>
        <w:shd w:val="clear" w:color="auto" w:fill="FFFFFF"/>
        <w:spacing w:after="0" w:line="240" w:lineRule="auto"/>
        <w:jc w:val="both"/>
      </w:pPr>
      <w:r>
        <w:rPr>
          <w:i/>
          <w:iCs/>
        </w:rPr>
        <w:t>“</w:t>
      </w:r>
      <w:r w:rsidRPr="00DB02FA">
        <w:rPr>
          <w:i/>
          <w:iCs/>
        </w:rPr>
        <w:t>A. L'</w:t>
      </w:r>
      <w:hyperlink r:id="rId5" w:history="1">
        <w:r w:rsidRPr="00DB02FA">
          <w:rPr>
            <w:i/>
            <w:iCs/>
          </w:rPr>
          <w:t>art. 51, comma 2, D.L.vo 15 novembre 1993, n. 507</w:t>
        </w:r>
      </w:hyperlink>
      <w:r w:rsidRPr="00DB02FA">
        <w:rPr>
          <w:i/>
          <w:iCs/>
        </w:rPr>
        <w:t>, come noto, consente all'ente territoriale titolare del relativo potere impositivo di provvedere all'"accertamento d'ufficio" (sia direttamente che, ex art. 52 del medesimo D.L.vo, mediante affidamento del relativo servizio ad "apposita azienda speciale") dei "casi di omessa dichiarazione della denuncia" di occupazione del suolo pubblico prescritta dal precedente art. 50.</w:t>
      </w:r>
    </w:p>
    <w:p w14:paraId="41E2309D" w14:textId="77777777" w:rsidR="00DB02FA" w:rsidRPr="00DB02FA" w:rsidRDefault="00DB02FA" w:rsidP="00DB02FA">
      <w:pPr>
        <w:shd w:val="clear" w:color="auto" w:fill="FFFFFF"/>
        <w:spacing w:after="0" w:line="240" w:lineRule="auto"/>
        <w:jc w:val="both"/>
        <w:rPr>
          <w:i/>
          <w:iCs/>
        </w:rPr>
      </w:pPr>
      <w:r w:rsidRPr="00DB02FA">
        <w:rPr>
          <w:i/>
          <w:iCs/>
        </w:rPr>
        <w:t xml:space="preserve">Il relativo potere, ovviamente, va esercitato dall'ente territoriale </w:t>
      </w:r>
      <w:r w:rsidRPr="00DB02FA">
        <w:rPr>
          <w:b/>
          <w:bCs/>
          <w:i/>
          <w:iCs/>
        </w:rPr>
        <w:t>a mezzo dei propri dipendenti qualificati ai quali deve riconoscersi qualifica di pubblico ufficiale attesa la natura squisitamente pubblica dell'attività afferente l'accertamento tributario detto.</w:t>
      </w:r>
    </w:p>
    <w:p w14:paraId="1D6FCD0E" w14:textId="77777777" w:rsidR="00DB02FA" w:rsidRPr="00DB02FA" w:rsidRDefault="00DB02FA" w:rsidP="00DB02FA">
      <w:pPr>
        <w:shd w:val="clear" w:color="auto" w:fill="FFFFFF"/>
        <w:spacing w:after="0" w:line="240" w:lineRule="auto"/>
        <w:jc w:val="both"/>
        <w:rPr>
          <w:i/>
          <w:iCs/>
        </w:rPr>
      </w:pPr>
      <w:r w:rsidRPr="00DB02FA">
        <w:rPr>
          <w:i/>
          <w:iCs/>
        </w:rPr>
        <w:lastRenderedPageBreak/>
        <w:t xml:space="preserve">B. In diritto, poi, va confermata la costante giurisprudenza di questa Corte secondo la quale (excerpta da Cass., 2^, 20 marzo 2007 n. 6565; </w:t>
      </w:r>
      <w:proofErr w:type="spellStart"/>
      <w:r w:rsidRPr="00DB02FA">
        <w:rPr>
          <w:i/>
          <w:iCs/>
        </w:rPr>
        <w:t>adde</w:t>
      </w:r>
      <w:proofErr w:type="spellEnd"/>
      <w:r w:rsidRPr="00DB02FA">
        <w:rPr>
          <w:i/>
          <w:iCs/>
        </w:rPr>
        <w:t>: 1^, 21 settembre 2006 n. 20441; 2^, 28 aprile 2006 n. 9919; 1^, 3 dicembre 2002 n. 17106; 1^, 14 dicembre 2002 n. 23306; lav., 8 marzo 2001 n. 3350) "</w:t>
      </w:r>
      <w:r w:rsidRPr="00DB02FA">
        <w:rPr>
          <w:b/>
          <w:bCs/>
          <w:i/>
          <w:iCs/>
        </w:rPr>
        <w:t>il verbale di accertamento dell'infrazione assume, quanto all'efficacia probatoria delle circostanze di fatto in esso attestate ed alla loro resistenza alla prova contraria, un valore disomogeneo che si risolve in un triplice livello di attendibilità".</w:t>
      </w:r>
    </w:p>
    <w:p w14:paraId="651A59A4" w14:textId="77777777" w:rsidR="00DB02FA" w:rsidRPr="00DB02FA" w:rsidRDefault="00DB02FA" w:rsidP="00DB02FA">
      <w:pPr>
        <w:shd w:val="clear" w:color="auto" w:fill="FFFFFF"/>
        <w:spacing w:after="0" w:line="240" w:lineRule="auto"/>
        <w:jc w:val="both"/>
        <w:rPr>
          <w:i/>
          <w:iCs/>
        </w:rPr>
      </w:pPr>
      <w:r w:rsidRPr="00DB02FA">
        <w:rPr>
          <w:i/>
          <w:iCs/>
        </w:rPr>
        <w:t>"La verbalizzazione", infatti:</w:t>
      </w:r>
    </w:p>
    <w:p w14:paraId="3EEDD453" w14:textId="041558F3" w:rsidR="00DB02FA" w:rsidRPr="00DB02FA" w:rsidRDefault="00DB02FA" w:rsidP="00DB02FA">
      <w:pPr>
        <w:shd w:val="clear" w:color="auto" w:fill="FFFFFF"/>
        <w:spacing w:after="0" w:line="240" w:lineRule="auto"/>
        <w:jc w:val="both"/>
        <w:rPr>
          <w:i/>
          <w:iCs/>
        </w:rPr>
      </w:pPr>
      <w:r w:rsidRPr="00DB02FA">
        <w:rPr>
          <w:i/>
          <w:iCs/>
        </w:rPr>
        <w:t>(a) "</w:t>
      </w:r>
      <w:r w:rsidRPr="00DB02FA">
        <w:rPr>
          <w:b/>
          <w:bCs/>
          <w:i/>
          <w:iCs/>
        </w:rPr>
        <w:t>fa piena prova, fino a querela di falso</w:t>
      </w:r>
      <w:r w:rsidRPr="00DB02FA">
        <w:rPr>
          <w:i/>
          <w:iCs/>
        </w:rPr>
        <w:t xml:space="preserve">, relativamente ai fatti attestati dal pubblico ufficiale come da lui compiuti o avvenuti in sua presenza e che abbia potuto conoscere senza alcun margine di apprezzamento o di percezione sensoriale, </w:t>
      </w:r>
      <w:r w:rsidRPr="00DB02FA">
        <w:rPr>
          <w:i/>
          <w:iCs/>
        </w:rPr>
        <w:t>nonché</w:t>
      </w:r>
      <w:r w:rsidRPr="00DB02FA">
        <w:rPr>
          <w:i/>
          <w:iCs/>
        </w:rPr>
        <w:t xml:space="preserve"> alla provenienza del documento dallo stesso pubblico ufficiale ed alle dichiarazioni a lui rese";</w:t>
      </w:r>
    </w:p>
    <w:p w14:paraId="44F755A2" w14:textId="77777777" w:rsidR="00DB02FA" w:rsidRPr="00DB02FA" w:rsidRDefault="00DB02FA" w:rsidP="00DB02FA">
      <w:pPr>
        <w:shd w:val="clear" w:color="auto" w:fill="FFFFFF"/>
        <w:spacing w:after="0" w:line="240" w:lineRule="auto"/>
        <w:jc w:val="both"/>
        <w:rPr>
          <w:i/>
          <w:iCs/>
        </w:rPr>
      </w:pPr>
      <w:r w:rsidRPr="00DB02FA">
        <w:rPr>
          <w:i/>
          <w:iCs/>
        </w:rPr>
        <w:t>(b) "</w:t>
      </w:r>
      <w:r w:rsidRPr="00DB02FA">
        <w:rPr>
          <w:b/>
          <w:bCs/>
          <w:i/>
          <w:iCs/>
        </w:rPr>
        <w:t>ha una credibilità,</w:t>
      </w:r>
      <w:r w:rsidRPr="00DB02FA">
        <w:rPr>
          <w:i/>
          <w:iCs/>
        </w:rPr>
        <w:t xml:space="preserve"> quanto alle dichiarazioni a lui rese dalle parti o da terzi, che può essere infirmata solo da prova contraria, qualora la specifica indicazione delle fonti di conoscenza consenta al giudice ed alle parti l'eventuale controllo e valutazione del contenuto delle dichiarazioni";</w:t>
      </w:r>
    </w:p>
    <w:p w14:paraId="5F9D0DC1" w14:textId="77777777" w:rsidR="00DB02FA" w:rsidRPr="00DB02FA" w:rsidRDefault="00DB02FA" w:rsidP="00DB02FA">
      <w:pPr>
        <w:shd w:val="clear" w:color="auto" w:fill="FFFFFF"/>
        <w:spacing w:after="0" w:line="240" w:lineRule="auto"/>
        <w:jc w:val="both"/>
        <w:rPr>
          <w:i/>
          <w:iCs/>
        </w:rPr>
      </w:pPr>
      <w:r w:rsidRPr="00DB02FA">
        <w:rPr>
          <w:i/>
          <w:iCs/>
        </w:rPr>
        <w:t>(c) "</w:t>
      </w:r>
      <w:r w:rsidRPr="00DB02FA">
        <w:rPr>
          <w:b/>
          <w:bCs/>
          <w:i/>
          <w:iCs/>
        </w:rPr>
        <w:t>costituisce</w:t>
      </w:r>
      <w:r w:rsidRPr="00DB02FA">
        <w:rPr>
          <w:i/>
          <w:iCs/>
        </w:rPr>
        <w:t xml:space="preserve">, in presenza di una indicazione soltanto generica delle fonti di conoscenza, </w:t>
      </w:r>
      <w:r w:rsidRPr="00DB02FA">
        <w:rPr>
          <w:b/>
          <w:bCs/>
          <w:i/>
          <w:iCs/>
        </w:rPr>
        <w:t>un elemento che il giudice deve in ogni caso valutare</w:t>
      </w:r>
      <w:r w:rsidRPr="00DB02FA">
        <w:rPr>
          <w:i/>
          <w:iCs/>
        </w:rPr>
        <w:t xml:space="preserve"> in concorso con gli altri elementi probatori, attesa la certezza, fino a querela di falso, della ricezione da parte del pubblico ufficiale delle dichiarazioni che egli attesta essere state a lui rese".</w:t>
      </w:r>
    </w:p>
    <w:p w14:paraId="72F67B93" w14:textId="77777777" w:rsidR="00937217" w:rsidRDefault="00937217" w:rsidP="00F825B1">
      <w:pPr>
        <w:jc w:val="both"/>
      </w:pPr>
    </w:p>
    <w:p w14:paraId="64DE40B9" w14:textId="0EB5E3F2" w:rsidR="00DB02FA" w:rsidRPr="00DB02FA" w:rsidRDefault="00DB02FA" w:rsidP="00F825B1">
      <w:pPr>
        <w:jc w:val="both"/>
      </w:pPr>
      <w:r>
        <w:t>La sentenza del Tribunale di Lecce richiama quindi elementi fondamentali nell’attività di accertamento in materia di fiscalità locale</w:t>
      </w:r>
      <w:r w:rsidR="00937217">
        <w:t xml:space="preserve"> attuati dagli enti locali con le figure degli accertatori delle entrate e con personale dedicato al</w:t>
      </w:r>
      <w:r w:rsidR="00937217" w:rsidRPr="00937217">
        <w:t xml:space="preserve"> qual</w:t>
      </w:r>
      <w:r w:rsidR="00937217">
        <w:t>e</w:t>
      </w:r>
      <w:r w:rsidR="00937217" w:rsidRPr="00937217">
        <w:t xml:space="preserve"> deve riconoscersi </w:t>
      </w:r>
      <w:r w:rsidR="00937217">
        <w:t xml:space="preserve">la </w:t>
      </w:r>
      <w:r w:rsidR="00937217" w:rsidRPr="00937217">
        <w:t>qualifica di pubblico ufficiale attesa la natura squisitamente pubblica dell'attività afferente l'accertamento</w:t>
      </w:r>
      <w:r w:rsidR="00937217">
        <w:t xml:space="preserve"> delle entrate.</w:t>
      </w:r>
    </w:p>
    <w:sectPr w:rsidR="00DB02FA" w:rsidRPr="00DB02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AE"/>
    <w:rsid w:val="00001112"/>
    <w:rsid w:val="00060149"/>
    <w:rsid w:val="00283CF6"/>
    <w:rsid w:val="003956DC"/>
    <w:rsid w:val="00567CEA"/>
    <w:rsid w:val="007B1496"/>
    <w:rsid w:val="0081702D"/>
    <w:rsid w:val="008F1BF0"/>
    <w:rsid w:val="00937217"/>
    <w:rsid w:val="00A112CE"/>
    <w:rsid w:val="00C068EA"/>
    <w:rsid w:val="00C82D85"/>
    <w:rsid w:val="00DB02FA"/>
    <w:rsid w:val="00EF4AAE"/>
    <w:rsid w:val="00F825B1"/>
    <w:rsid w:val="00FB47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F9B3"/>
  <w15:chartTrackingRefBased/>
  <w15:docId w15:val="{F9D2ABE8-98E9-464C-A87F-F8C04741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F4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EF4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F4AA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F4AA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F4AA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F4A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F4A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F4A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F4A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F4AA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EF4AA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F4AA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F4AA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F4AA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F4A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F4A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F4A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F4A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F4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F4A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F4AA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F4A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F4AA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F4AAE"/>
    <w:rPr>
      <w:i/>
      <w:iCs/>
      <w:color w:val="404040" w:themeColor="text1" w:themeTint="BF"/>
    </w:rPr>
  </w:style>
  <w:style w:type="paragraph" w:styleId="Paragrafoelenco">
    <w:name w:val="List Paragraph"/>
    <w:basedOn w:val="Normale"/>
    <w:uiPriority w:val="34"/>
    <w:qFormat/>
    <w:rsid w:val="00EF4AAE"/>
    <w:pPr>
      <w:ind w:left="720"/>
      <w:contextualSpacing/>
    </w:pPr>
  </w:style>
  <w:style w:type="character" w:styleId="Enfasiintensa">
    <w:name w:val="Intense Emphasis"/>
    <w:basedOn w:val="Carpredefinitoparagrafo"/>
    <w:uiPriority w:val="21"/>
    <w:qFormat/>
    <w:rsid w:val="00EF4AAE"/>
    <w:rPr>
      <w:i/>
      <w:iCs/>
      <w:color w:val="2F5496" w:themeColor="accent1" w:themeShade="BF"/>
    </w:rPr>
  </w:style>
  <w:style w:type="paragraph" w:styleId="Citazioneintensa">
    <w:name w:val="Intense Quote"/>
    <w:basedOn w:val="Normale"/>
    <w:next w:val="Normale"/>
    <w:link w:val="CitazioneintensaCarattere"/>
    <w:uiPriority w:val="30"/>
    <w:qFormat/>
    <w:rsid w:val="00EF4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F4AAE"/>
    <w:rPr>
      <w:i/>
      <w:iCs/>
      <w:color w:val="2F5496" w:themeColor="accent1" w:themeShade="BF"/>
    </w:rPr>
  </w:style>
  <w:style w:type="character" w:styleId="Riferimentointenso">
    <w:name w:val="Intense Reference"/>
    <w:basedOn w:val="Carpredefinitoparagrafo"/>
    <w:uiPriority w:val="32"/>
    <w:qFormat/>
    <w:rsid w:val="00EF4AAE"/>
    <w:rPr>
      <w:b/>
      <w:bCs/>
      <w:smallCaps/>
      <w:color w:val="2F5496" w:themeColor="accent1" w:themeShade="BF"/>
      <w:spacing w:val="5"/>
    </w:rPr>
  </w:style>
  <w:style w:type="character" w:styleId="Enfasigrassetto">
    <w:name w:val="Strong"/>
    <w:basedOn w:val="Carpredefinitoparagrafo"/>
    <w:uiPriority w:val="22"/>
    <w:qFormat/>
    <w:rsid w:val="00FB47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atribunaplus.it/visualizza.php?id=id19931115DLG00507ART0051000&amp;ur=Mzg2NTc3Nw==" TargetMode="External"/><Relationship Id="rId4" Type="http://schemas.openxmlformats.org/officeDocument/2006/relationships/hyperlink" Target="https://www.latribunaplus.it/visualizza.php?id=id19420316CC00262ART2697000&amp;ur=Mzg2NTc3Nw=="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3</Pages>
  <Words>1535</Words>
  <Characters>8752</Characters>
  <Application>Microsoft Office Word</Application>
  <DocSecurity>0</DocSecurity>
  <Lines>72</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2025-10-07T10:35:00Z</dcterms:created>
  <dcterms:modified xsi:type="dcterms:W3CDTF">2025-10-08T09:28:00Z</dcterms:modified>
</cp:coreProperties>
</file>