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D30FB" w14:textId="47A00685" w:rsidR="003E6B75" w:rsidRDefault="00CE46E8">
      <w:r>
        <w:t xml:space="preserve"> </w:t>
      </w:r>
      <w:r w:rsidR="003E6B75" w:rsidRPr="003E6B75">
        <w:t xml:space="preserve">Titolo: </w:t>
      </w:r>
      <w:r w:rsidR="003666FA">
        <w:t>come calcolare l’adeguamento ISTAT delle tariffe CUP</w:t>
      </w:r>
      <w:r w:rsidR="006B4CE6">
        <w:t xml:space="preserve"> </w:t>
      </w:r>
    </w:p>
    <w:p w14:paraId="0F4F01F1" w14:textId="05B0F314" w:rsidR="003E6B75" w:rsidRPr="003E6B75" w:rsidRDefault="003E6B75">
      <w:r>
        <w:t>Di Alessandro Merciari</w:t>
      </w:r>
    </w:p>
    <w:p w14:paraId="73346019" w14:textId="1AE7A8C7" w:rsidR="000E6B0B" w:rsidRPr="00AC630D" w:rsidRDefault="00E4766B" w:rsidP="003E6B75">
      <w:pPr>
        <w:jc w:val="both"/>
      </w:pPr>
      <w:r>
        <w:t>Grazie alla modifica del</w:t>
      </w:r>
      <w:r w:rsidRPr="003E6B75">
        <w:t>l'articolo 1, comma 817, della legge n. 160 del 2019</w:t>
      </w:r>
      <w:r>
        <w:t xml:space="preserve"> apportata dal </w:t>
      </w:r>
      <w:r w:rsidR="003E6B75">
        <w:t>Decreto Legge</w:t>
      </w:r>
      <w:r w:rsidR="00A32447" w:rsidRPr="003E6B75">
        <w:t xml:space="preserve"> 30 giugno 2025, n. 95</w:t>
      </w:r>
      <w:r>
        <w:t xml:space="preserve">, il Legislatore ha previsto </w:t>
      </w:r>
      <w:r w:rsidR="003666FA">
        <w:t>per gli enti locali</w:t>
      </w:r>
      <w:r w:rsidR="00AC630D">
        <w:t xml:space="preserve"> la possibilità</w:t>
      </w:r>
      <w:r w:rsidR="00310E26">
        <w:t>,</w:t>
      </w:r>
      <w:r w:rsidR="00AC630D">
        <w:t xml:space="preserve"> rispetto</w:t>
      </w:r>
      <w:r w:rsidR="00310E26">
        <w:t xml:space="preserve"> a</w:t>
      </w:r>
      <w:r>
        <w:t xml:space="preserve">l proprio </w:t>
      </w:r>
      <w:r w:rsidR="00310E26">
        <w:t xml:space="preserve">impianto tariffario del </w:t>
      </w:r>
      <w:r>
        <w:t>C</w:t>
      </w:r>
      <w:r w:rsidR="00AC630D">
        <w:t>anone</w:t>
      </w:r>
      <w:r>
        <w:t xml:space="preserve"> Unico, </w:t>
      </w:r>
      <w:r w:rsidR="00AC630D">
        <w:t xml:space="preserve"> di </w:t>
      </w:r>
      <w:r w:rsidR="00A32447" w:rsidRPr="003E6B75">
        <w:rPr>
          <w:i/>
          <w:iCs/>
        </w:rPr>
        <w:t xml:space="preserve"> "rivalutarlo annualmente in base all'indice ISTAT dei prezzi al consumo rilevati al 31 dicembre dell'anno precedente"</w:t>
      </w:r>
      <w:r w:rsidR="00AC630D">
        <w:rPr>
          <w:i/>
          <w:iCs/>
        </w:rPr>
        <w:t>.</w:t>
      </w:r>
    </w:p>
    <w:p w14:paraId="3E002D0F" w14:textId="07B2181D" w:rsidR="00A20E02" w:rsidRDefault="00A349D4" w:rsidP="00A349D4">
      <w:pPr>
        <w:jc w:val="both"/>
      </w:pPr>
      <w:r>
        <w:t xml:space="preserve">Una modifica </w:t>
      </w:r>
      <w:r w:rsidR="00A20E02">
        <w:t>che</w:t>
      </w:r>
      <w:r w:rsidR="003E4987">
        <w:t xml:space="preserve"> si inserisce </w:t>
      </w:r>
      <w:r w:rsidR="00A20E02">
        <w:t xml:space="preserve">nel </w:t>
      </w:r>
      <w:r w:rsidR="003666FA">
        <w:t xml:space="preserve">complesso </w:t>
      </w:r>
      <w:r w:rsidR="00A20E02">
        <w:t>quadro interpretativo del comma</w:t>
      </w:r>
      <w:r w:rsidR="003E4987">
        <w:t xml:space="preserve"> 817</w:t>
      </w:r>
      <w:r w:rsidR="00A20E02">
        <w:t>, offre</w:t>
      </w:r>
      <w:r w:rsidR="003E4987">
        <w:t>ndo</w:t>
      </w:r>
      <w:r w:rsidR="00A20E02">
        <w:t xml:space="preserve"> </w:t>
      </w:r>
      <w:r w:rsidR="00E4766B">
        <w:t xml:space="preserve">per la prima volta </w:t>
      </w:r>
      <w:r w:rsidR="00A20E02">
        <w:t xml:space="preserve">una concreta possibilità </w:t>
      </w:r>
      <w:r w:rsidR="00310E26">
        <w:t>per gli</w:t>
      </w:r>
      <w:r w:rsidR="00A20E02">
        <w:t xml:space="preserve"> Enti Locali di aggiornare </w:t>
      </w:r>
      <w:r w:rsidR="00310E26">
        <w:t>il proprio sistema</w:t>
      </w:r>
      <w:r w:rsidR="00A20E02">
        <w:t xml:space="preserve"> tariffario fissato in sede di prima applicazione nell’ormai lontano 2021.</w:t>
      </w:r>
    </w:p>
    <w:p w14:paraId="647FB0AF" w14:textId="5DEEA1A6" w:rsidR="00E4766B" w:rsidRDefault="00E4766B" w:rsidP="00A349D4">
      <w:pPr>
        <w:jc w:val="both"/>
      </w:pPr>
      <w:r>
        <w:t>In questi anni gli uffici entrate degli enti si erano divisi tra chi riteneva il comma 817 come limite invalicabile per qualunque modifica tariffaria e chi invece ne dava una lettura estensiva facendo leva sull’autonomia riconosciuta agli enti in materia di proprie entrate. Oggi, con questa modifica, si risolve, almeno parzialmente, questo scontro interpretativo, dando certezza sulla legittimità di modifica quanto meno per quanto riguarda l’aggiornamento Istat delle tariffe.</w:t>
      </w:r>
    </w:p>
    <w:p w14:paraId="3CAF18B6" w14:textId="48BED65F" w:rsidR="003E4987" w:rsidRDefault="00E4766B" w:rsidP="00A20E02">
      <w:pPr>
        <w:jc w:val="both"/>
      </w:pPr>
      <w:r>
        <w:t>Acquisita la norma, o</w:t>
      </w:r>
      <w:r w:rsidR="00A20E02">
        <w:t xml:space="preserve">ggi </w:t>
      </w:r>
      <w:r w:rsidR="003E4987">
        <w:t>s</w:t>
      </w:r>
      <w:r w:rsidR="003E4987" w:rsidRPr="003E4987">
        <w:t xml:space="preserve">i pone </w:t>
      </w:r>
      <w:r w:rsidR="003666FA">
        <w:t xml:space="preserve">in concreto </w:t>
      </w:r>
      <w:r w:rsidR="003E4987" w:rsidRPr="003E4987">
        <w:t>il problema del</w:t>
      </w:r>
      <w:r>
        <w:t xml:space="preserve"> calcolo, ovvero della</w:t>
      </w:r>
      <w:r w:rsidR="003E4987" w:rsidRPr="003E4987">
        <w:t xml:space="preserve"> decorrenza dell’adeguamento ISTAT</w:t>
      </w:r>
      <w:r>
        <w:t xml:space="preserve"> da applicare in previsione delle tariffe per il prossimo anno 2026.</w:t>
      </w:r>
    </w:p>
    <w:p w14:paraId="160ED5A5" w14:textId="20B2526D" w:rsidR="003E4987" w:rsidRDefault="00310E26" w:rsidP="003E4987">
      <w:pPr>
        <w:jc w:val="both"/>
      </w:pPr>
      <w:r>
        <w:t xml:space="preserve">È </w:t>
      </w:r>
      <w:r w:rsidR="00A20E02">
        <w:t>necessario fornire un indirizzo ai Comuni, alle Province e alle Città Metropolitane nel prevedere una revisione delle</w:t>
      </w:r>
      <w:r w:rsidR="003E4987">
        <w:t xml:space="preserve"> proprie</w:t>
      </w:r>
      <w:r w:rsidR="00A20E02">
        <w:t xml:space="preserve"> tariffe</w:t>
      </w:r>
      <w:r w:rsidR="003E4987">
        <w:t xml:space="preserve"> valutando </w:t>
      </w:r>
      <w:r>
        <w:t>la legittimità di</w:t>
      </w:r>
      <w:r w:rsidR="003E4987">
        <w:t xml:space="preserve"> operare un calcolo </w:t>
      </w:r>
      <w:r w:rsidR="00D24B27">
        <w:t xml:space="preserve">di rivalutazione </w:t>
      </w:r>
      <w:r w:rsidR="003E4987">
        <w:t xml:space="preserve">a partire dal 2021. </w:t>
      </w:r>
    </w:p>
    <w:p w14:paraId="69357403" w14:textId="55CF8ADB" w:rsidR="003E4987" w:rsidRPr="003E4987" w:rsidRDefault="003E4987" w:rsidP="003E4987">
      <w:pPr>
        <w:jc w:val="both"/>
        <w:rPr>
          <w:i/>
          <w:iCs/>
        </w:rPr>
      </w:pPr>
      <w:r>
        <w:t>In questo senso analizziamo a</w:t>
      </w:r>
      <w:r w:rsidRPr="003E4987">
        <w:t xml:space="preserve">lcune riflessioni che possono far deporre per una decorrenza </w:t>
      </w:r>
      <w:r w:rsidRPr="003E4987">
        <w:rPr>
          <w:i/>
          <w:iCs/>
        </w:rPr>
        <w:t>ex tunc:</w:t>
      </w:r>
    </w:p>
    <w:p w14:paraId="42B07AD2" w14:textId="46CB9710" w:rsidR="003E4987" w:rsidRPr="003E4987" w:rsidRDefault="003E4987" w:rsidP="003E4987">
      <w:pPr>
        <w:jc w:val="both"/>
      </w:pPr>
      <w:r>
        <w:t>Innanzi tutto una riflessione sulla p</w:t>
      </w:r>
      <w:r w:rsidRPr="003E4987">
        <w:t xml:space="preserve">rassi applicativa: più di un </w:t>
      </w:r>
      <w:r w:rsidR="00310E26">
        <w:t>C</w:t>
      </w:r>
      <w:r w:rsidRPr="003E4987">
        <w:t>omune</w:t>
      </w:r>
      <w:r>
        <w:t xml:space="preserve">, </w:t>
      </w:r>
      <w:r w:rsidRPr="003E4987">
        <w:t>alcuni di rilevanti dimensioni</w:t>
      </w:r>
      <w:r>
        <w:t>,</w:t>
      </w:r>
      <w:r w:rsidRPr="003E4987">
        <w:t xml:space="preserve"> hanno già da tempo introdotto</w:t>
      </w:r>
      <w:r>
        <w:t>, nel proprio Regolamento,</w:t>
      </w:r>
      <w:r w:rsidRPr="003E4987">
        <w:t xml:space="preserve"> l’adeguamento ISTAT in relazione alle tariffe, integrando pertanto</w:t>
      </w:r>
      <w:r>
        <w:t>,</w:t>
      </w:r>
      <w:r w:rsidRPr="003E4987">
        <w:t xml:space="preserve"> ed estendendolo a tutte le fattispecie oggetto di CUP</w:t>
      </w:r>
      <w:r>
        <w:t>,</w:t>
      </w:r>
      <w:r w:rsidRPr="003E4987">
        <w:t xml:space="preserve"> il dettato normativo dell’articolo 1 comma 831 della legge n. 160/19 laddove , in relazione  alle tariffe delle fattispecie di cui la comma, è esplicitamente previsto che “</w:t>
      </w:r>
      <w:r w:rsidRPr="003E4987">
        <w:rPr>
          <w:i/>
          <w:iCs/>
        </w:rPr>
        <w:t>Gli importi sono rivalutati annualmente in base all’indice ISTAT dei prezzi al consumo rilevati al 31 dicembre dell’anno precedente</w:t>
      </w:r>
      <w:r w:rsidRPr="003E4987">
        <w:t>”</w:t>
      </w:r>
      <w:r>
        <w:t>.</w:t>
      </w:r>
    </w:p>
    <w:p w14:paraId="07649B11" w14:textId="65E3B688" w:rsidR="003E4987" w:rsidRPr="003E4987" w:rsidRDefault="003E4987" w:rsidP="003E4987">
      <w:pPr>
        <w:jc w:val="both"/>
      </w:pPr>
      <w:r>
        <w:t>Secondariamente l’ipotesi di applicare l’adeguamento Istat con calcolo dal 2021, rappresenta la r</w:t>
      </w:r>
      <w:r w:rsidRPr="003E4987">
        <w:t xml:space="preserve">isoluzione di una oggettiva “distonia tariffaria”. Se è vero, come è vero, che per determinate fattispecie la norma aveva ab origine previsto l’adeguamento ISTAT, è agevole concludere che il </w:t>
      </w:r>
      <w:r>
        <w:t>L</w:t>
      </w:r>
      <w:r w:rsidRPr="003E4987">
        <w:t>egislatore, andando ad incidere sul comma 817, ed introducendo in via generale la possibilità dell’adeguamento ISTAT, abbia voluto sbrogliare una distonia, prevedendo appunto- ed ab origine- la possibilità di adeguamento ISTAT con decorrenza identica a quella prevista dal comma 831, e cioè dall’entrata in vigore del CUP</w:t>
      </w:r>
      <w:r>
        <w:t>.</w:t>
      </w:r>
    </w:p>
    <w:p w14:paraId="75A63930" w14:textId="0B6F1975" w:rsidR="00D24B27" w:rsidRDefault="003E4987" w:rsidP="006F03D6">
      <w:pPr>
        <w:jc w:val="both"/>
      </w:pPr>
      <w:r>
        <w:t>Infine, i</w:t>
      </w:r>
      <w:r w:rsidRPr="003E4987">
        <w:t xml:space="preserve">n punto di sintesi: non si tratta di una norma di interpretazione autentica, non si tratta di una norma che concretizza un </w:t>
      </w:r>
      <w:r w:rsidRPr="003E4987">
        <w:rPr>
          <w:i/>
          <w:iCs/>
        </w:rPr>
        <w:t>favor rei</w:t>
      </w:r>
      <w:r w:rsidRPr="003E4987">
        <w:t xml:space="preserve">; purtuttavia si tratta di ricostruire il sistema, e nello specifico il sistema tariffario, in termini di ragionevolezza ed evoluzione dello stesso, facendo attenzione a </w:t>
      </w:r>
      <w:r w:rsidR="00D24B27" w:rsidRPr="003E4987">
        <w:t>non introdurre</w:t>
      </w:r>
      <w:r w:rsidRPr="003E4987">
        <w:t xml:space="preserve"> ulteriori elementi distorsivi</w:t>
      </w:r>
      <w:r w:rsidR="00D24B27">
        <w:t xml:space="preserve"> - </w:t>
      </w:r>
      <w:r w:rsidR="00D24B27" w:rsidRPr="00D24B27">
        <w:t xml:space="preserve"> perché su determinate fattispecie</w:t>
      </w:r>
      <w:r w:rsidR="00310E26">
        <w:t>,</w:t>
      </w:r>
      <w:r w:rsidR="00D24B27" w:rsidRPr="00D24B27">
        <w:t xml:space="preserve"> l’adeguamento ISTAT si applica fin da subito e su altre solo da adesso</w:t>
      </w:r>
      <w:r w:rsidR="00D24B27">
        <w:t xml:space="preserve"> -</w:t>
      </w:r>
      <w:r w:rsidR="00D24B27" w:rsidRPr="00D24B27">
        <w:t xml:space="preserve"> con un occhio alla prassi tecnico/applicativa sviluppatasi in concreto</w:t>
      </w:r>
      <w:r w:rsidR="00D24B27">
        <w:t xml:space="preserve"> con </w:t>
      </w:r>
      <w:r w:rsidR="00D24B27" w:rsidRPr="00D24B27">
        <w:t>regolamenti che già lo prevedono.</w:t>
      </w:r>
    </w:p>
    <w:p w14:paraId="2642290B" w14:textId="1D89C0FC" w:rsidR="001F3EC3" w:rsidRDefault="00D24B27" w:rsidP="006F03D6">
      <w:pPr>
        <w:jc w:val="both"/>
      </w:pPr>
      <w:r>
        <w:t>In questo senso, p</w:t>
      </w:r>
      <w:r w:rsidR="001F3EC3">
        <w:t xml:space="preserve">er tutti </w:t>
      </w:r>
      <w:r>
        <w:t>gli</w:t>
      </w:r>
      <w:r w:rsidR="001F3EC3">
        <w:t xml:space="preserve"> enti che non avevano</w:t>
      </w:r>
      <w:r w:rsidR="00310E26">
        <w:t xml:space="preserve"> fino ad ora</w:t>
      </w:r>
      <w:r w:rsidR="001F3EC3">
        <w:t xml:space="preserve"> già disposto aumenti e non avevano già inserito l’adeguamento tariffario all’interno del proprio regolamento</w:t>
      </w:r>
      <w:r w:rsidR="00F81AE7">
        <w:t xml:space="preserve">, </w:t>
      </w:r>
      <w:r>
        <w:t>si ritiene p</w:t>
      </w:r>
      <w:r w:rsidR="00F81AE7">
        <w:t>ossibile ipotizzare un adeguamento tariffario da calcolarsi in misura pari all’aumento Istat registrato dal 2021 ad oggi</w:t>
      </w:r>
      <w:r>
        <w:t>.</w:t>
      </w:r>
    </w:p>
    <w:p w14:paraId="7D624BDA" w14:textId="6CA240D0" w:rsidR="00F81AE7" w:rsidRDefault="00D24B27" w:rsidP="00F81AE7">
      <w:pPr>
        <w:jc w:val="both"/>
      </w:pPr>
      <w:r>
        <w:lastRenderedPageBreak/>
        <w:t>V</w:t>
      </w:r>
      <w:r w:rsidR="00F81AE7" w:rsidRPr="00F81AE7">
        <w:t xml:space="preserve">ediamo </w:t>
      </w:r>
      <w:r w:rsidR="00310E26">
        <w:t xml:space="preserve">pertanto </w:t>
      </w:r>
      <w:r w:rsidR="00F81AE7" w:rsidRPr="00F81AE7">
        <w:t xml:space="preserve">quale è stata l’evoluzione </w:t>
      </w:r>
      <w:r w:rsidR="006478E6">
        <w:t>de</w:t>
      </w:r>
      <w:r w:rsidR="00F81AE7" w:rsidRPr="00F81AE7">
        <w:t>ll’indice ISTAT</w:t>
      </w:r>
      <w:r w:rsidR="006478E6">
        <w:t xml:space="preserve"> partendo dalla base della tariffe deliberate nel 2021</w:t>
      </w:r>
      <w:r w:rsidR="00310E26">
        <w:t xml:space="preserve">. Si sono registrati i seguenti aumenti già assunti sulla tariffa prevista per i servizi di rete: </w:t>
      </w:r>
      <w:r w:rsidR="00F81AE7" w:rsidRPr="00F81AE7">
        <w:t>anno 2022</w:t>
      </w:r>
      <w:r w:rsidR="00310E26">
        <w:t xml:space="preserve">, </w:t>
      </w:r>
      <w:r w:rsidR="00F81AE7" w:rsidRPr="00F81AE7">
        <w:t>indice del 3,8%</w:t>
      </w:r>
      <w:r w:rsidR="00310E26">
        <w:t xml:space="preserve">; </w:t>
      </w:r>
      <w:r w:rsidR="00F81AE7" w:rsidRPr="00F81AE7">
        <w:t>anno 2023</w:t>
      </w:r>
      <w:r w:rsidR="00310E26">
        <w:t>,</w:t>
      </w:r>
      <w:r w:rsidR="00F81AE7" w:rsidRPr="00F81AE7">
        <w:t xml:space="preserve"> indice del 11,3%</w:t>
      </w:r>
      <w:r w:rsidR="00310E26">
        <w:t xml:space="preserve">; </w:t>
      </w:r>
      <w:r w:rsidR="00F81AE7" w:rsidRPr="00F81AE7">
        <w:t>anno 2024</w:t>
      </w:r>
      <w:r w:rsidR="00310E26">
        <w:t>,</w:t>
      </w:r>
      <w:r w:rsidR="00F81AE7" w:rsidRPr="00F81AE7">
        <w:t xml:space="preserve"> indice del 0,6%</w:t>
      </w:r>
      <w:r w:rsidR="00310E26">
        <w:t xml:space="preserve">; </w:t>
      </w:r>
      <w:r w:rsidR="00F81AE7" w:rsidRPr="00F81AE7">
        <w:t>anno 2025</w:t>
      </w:r>
      <w:r w:rsidR="00310E26">
        <w:t xml:space="preserve">, </w:t>
      </w:r>
      <w:r w:rsidR="00F81AE7" w:rsidRPr="00F81AE7">
        <w:t>indice del 1,1%</w:t>
      </w:r>
      <w:r w:rsidR="00310E26">
        <w:t>.</w:t>
      </w:r>
    </w:p>
    <w:p w14:paraId="5EA1D97C" w14:textId="6AA5BAC9" w:rsidR="006478E6" w:rsidRDefault="006478E6" w:rsidP="006478E6">
      <w:pPr>
        <w:jc w:val="both"/>
      </w:pPr>
      <w:r>
        <w:t>Per un complessivo aumento applicabile calcolato nella misura percentuale del 17,50%. Una misura importante a cui potrà aggiungersi, in previsione del 2026, l’indice Istat che verrà rilevato al 31 dicembre 2025.</w:t>
      </w:r>
    </w:p>
    <w:p w14:paraId="6E4CA400" w14:textId="77777777" w:rsidR="00E438A8" w:rsidRDefault="00E438A8" w:rsidP="006F03D6">
      <w:pPr>
        <w:jc w:val="both"/>
      </w:pPr>
    </w:p>
    <w:sectPr w:rsidR="00E438A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5685"/>
    <w:multiLevelType w:val="hybridMultilevel"/>
    <w:tmpl w:val="A11E6CA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09B6E79"/>
    <w:multiLevelType w:val="hybridMultilevel"/>
    <w:tmpl w:val="9EA0DF30"/>
    <w:lvl w:ilvl="0" w:tplc="07D85AA4">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 w15:restartNumberingAfterBreak="0">
    <w:nsid w:val="39FD5C72"/>
    <w:multiLevelType w:val="hybridMultilevel"/>
    <w:tmpl w:val="FAB4931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162740674">
    <w:abstractNumId w:val="0"/>
  </w:num>
  <w:num w:numId="2" w16cid:durableId="969240039">
    <w:abstractNumId w:val="2"/>
  </w:num>
  <w:num w:numId="3" w16cid:durableId="20046250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649"/>
    <w:rsid w:val="000344A2"/>
    <w:rsid w:val="000418D7"/>
    <w:rsid w:val="0004449D"/>
    <w:rsid w:val="00060149"/>
    <w:rsid w:val="000E6B0B"/>
    <w:rsid w:val="00120AD7"/>
    <w:rsid w:val="001F3EC3"/>
    <w:rsid w:val="00310E26"/>
    <w:rsid w:val="00333F13"/>
    <w:rsid w:val="003666FA"/>
    <w:rsid w:val="003E4987"/>
    <w:rsid w:val="003E6B75"/>
    <w:rsid w:val="00414F55"/>
    <w:rsid w:val="006330EE"/>
    <w:rsid w:val="006478E6"/>
    <w:rsid w:val="006B4CE6"/>
    <w:rsid w:val="006F03D6"/>
    <w:rsid w:val="00710DA9"/>
    <w:rsid w:val="007B1496"/>
    <w:rsid w:val="0082618A"/>
    <w:rsid w:val="00944A38"/>
    <w:rsid w:val="00A20E02"/>
    <w:rsid w:val="00A32447"/>
    <w:rsid w:val="00A349D4"/>
    <w:rsid w:val="00A92AEC"/>
    <w:rsid w:val="00AA0AE5"/>
    <w:rsid w:val="00AB38B7"/>
    <w:rsid w:val="00AC630D"/>
    <w:rsid w:val="00BA637A"/>
    <w:rsid w:val="00C02DF2"/>
    <w:rsid w:val="00C77649"/>
    <w:rsid w:val="00CE46E8"/>
    <w:rsid w:val="00D24B27"/>
    <w:rsid w:val="00DC1BBC"/>
    <w:rsid w:val="00E438A8"/>
    <w:rsid w:val="00E4766B"/>
    <w:rsid w:val="00EA50DB"/>
    <w:rsid w:val="00F81204"/>
    <w:rsid w:val="00F81AE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2A2B7"/>
  <w15:chartTrackingRefBased/>
  <w15:docId w15:val="{8661D9F1-EE36-4D01-9591-274A6D727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C776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C776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C7764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C7764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7764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7764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7764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7764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7764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7764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C7764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7764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7764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7764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7764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7764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7764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77649"/>
    <w:rPr>
      <w:rFonts w:eastAsiaTheme="majorEastAsia" w:cstheme="majorBidi"/>
      <w:color w:val="272727" w:themeColor="text1" w:themeTint="D8"/>
    </w:rPr>
  </w:style>
  <w:style w:type="paragraph" w:styleId="Titolo">
    <w:name w:val="Title"/>
    <w:basedOn w:val="Normale"/>
    <w:next w:val="Normale"/>
    <w:link w:val="TitoloCarattere"/>
    <w:uiPriority w:val="10"/>
    <w:qFormat/>
    <w:rsid w:val="00C7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7764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7764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7764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7764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77649"/>
    <w:rPr>
      <w:i/>
      <w:iCs/>
      <w:color w:val="404040" w:themeColor="text1" w:themeTint="BF"/>
    </w:rPr>
  </w:style>
  <w:style w:type="paragraph" w:styleId="Paragrafoelenco">
    <w:name w:val="List Paragraph"/>
    <w:basedOn w:val="Normale"/>
    <w:uiPriority w:val="34"/>
    <w:qFormat/>
    <w:rsid w:val="00C77649"/>
    <w:pPr>
      <w:ind w:left="720"/>
      <w:contextualSpacing/>
    </w:pPr>
  </w:style>
  <w:style w:type="character" w:styleId="Enfasiintensa">
    <w:name w:val="Intense Emphasis"/>
    <w:basedOn w:val="Carpredefinitoparagrafo"/>
    <w:uiPriority w:val="21"/>
    <w:qFormat/>
    <w:rsid w:val="00C77649"/>
    <w:rPr>
      <w:i/>
      <w:iCs/>
      <w:color w:val="2F5496" w:themeColor="accent1" w:themeShade="BF"/>
    </w:rPr>
  </w:style>
  <w:style w:type="paragraph" w:styleId="Citazioneintensa">
    <w:name w:val="Intense Quote"/>
    <w:basedOn w:val="Normale"/>
    <w:next w:val="Normale"/>
    <w:link w:val="CitazioneintensaCarattere"/>
    <w:uiPriority w:val="30"/>
    <w:qFormat/>
    <w:rsid w:val="00C776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77649"/>
    <w:rPr>
      <w:i/>
      <w:iCs/>
      <w:color w:val="2F5496" w:themeColor="accent1" w:themeShade="BF"/>
    </w:rPr>
  </w:style>
  <w:style w:type="character" w:styleId="Riferimentointenso">
    <w:name w:val="Intense Reference"/>
    <w:basedOn w:val="Carpredefinitoparagrafo"/>
    <w:uiPriority w:val="32"/>
    <w:qFormat/>
    <w:rsid w:val="00C77649"/>
    <w:rPr>
      <w:b/>
      <w:bCs/>
      <w:smallCaps/>
      <w:color w:val="2F5496" w:themeColor="accent1" w:themeShade="BF"/>
      <w:spacing w:val="5"/>
    </w:rPr>
  </w:style>
  <w:style w:type="character" w:styleId="Collegamentoipertestuale">
    <w:name w:val="Hyperlink"/>
    <w:basedOn w:val="Carpredefinitoparagrafo"/>
    <w:uiPriority w:val="99"/>
    <w:unhideWhenUsed/>
    <w:rsid w:val="00A32447"/>
    <w:rPr>
      <w:color w:val="0563C1" w:themeColor="hyperlink"/>
      <w:u w:val="single"/>
    </w:rPr>
  </w:style>
  <w:style w:type="character" w:styleId="Menzionenonrisolta">
    <w:name w:val="Unresolved Mention"/>
    <w:basedOn w:val="Carpredefinitoparagrafo"/>
    <w:uiPriority w:val="99"/>
    <w:semiHidden/>
    <w:unhideWhenUsed/>
    <w:rsid w:val="00A324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646</Words>
  <Characters>3685</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7</cp:revision>
  <dcterms:created xsi:type="dcterms:W3CDTF">2025-09-17T10:50:00Z</dcterms:created>
  <dcterms:modified xsi:type="dcterms:W3CDTF">2025-10-02T14:29:00Z</dcterms:modified>
</cp:coreProperties>
</file>