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104E" w14:textId="0B618AB8" w:rsidR="009F762B" w:rsidRPr="009F762B" w:rsidRDefault="009F762B" w:rsidP="009F762B">
      <w:pPr>
        <w:rPr>
          <w:b/>
          <w:bCs/>
        </w:rPr>
      </w:pPr>
      <w:r>
        <w:t xml:space="preserve">Titolo: </w:t>
      </w:r>
      <w:r w:rsidR="006E5E63">
        <w:t>legittimo il diniego alla concessione di suolo pubblico in caso di</w:t>
      </w:r>
      <w:r w:rsidR="006E5E63" w:rsidRPr="006E5E63">
        <w:t xml:space="preserve"> </w:t>
      </w:r>
      <w:r w:rsidRPr="006E5E63">
        <w:t>morosità</w:t>
      </w:r>
      <w:r w:rsidR="006E5E63">
        <w:t xml:space="preserve"> del richiedente</w:t>
      </w:r>
    </w:p>
    <w:p w14:paraId="4E011768" w14:textId="257CD0E3" w:rsidR="00060149" w:rsidRDefault="009F762B">
      <w:r>
        <w:t>Di Alessandro Merciari</w:t>
      </w:r>
    </w:p>
    <w:p w14:paraId="31F936A9" w14:textId="77777777" w:rsidR="009F762B" w:rsidRDefault="009F762B"/>
    <w:p w14:paraId="54B9D0D8" w14:textId="6A7D94A8" w:rsidR="005D25A2" w:rsidRDefault="005D25A2" w:rsidP="009F762B">
      <w:pPr>
        <w:jc w:val="both"/>
      </w:pPr>
      <w:r>
        <w:t xml:space="preserve">Interessante sentenza del TAR Lombardia sul tema del rilascio delle concessioni per l’occupazione del suolo pubblico. Quel suolo </w:t>
      </w:r>
      <w:r w:rsidR="00685AF7">
        <w:t xml:space="preserve">pubblico </w:t>
      </w:r>
      <w:r>
        <w:t>appartenente al patrimonio indisponibile de</w:t>
      </w:r>
      <w:r w:rsidR="00685AF7">
        <w:t xml:space="preserve">gli </w:t>
      </w:r>
      <w:r>
        <w:t>Ent</w:t>
      </w:r>
      <w:r w:rsidR="00685AF7">
        <w:t>i</w:t>
      </w:r>
      <w:r>
        <w:t xml:space="preserve"> local</w:t>
      </w:r>
      <w:r w:rsidR="00685AF7">
        <w:t>i</w:t>
      </w:r>
      <w:r>
        <w:t xml:space="preserve"> </w:t>
      </w:r>
      <w:r w:rsidR="006E5E63">
        <w:t>i quali</w:t>
      </w:r>
      <w:r>
        <w:t xml:space="preserve">, a fronte del rilascio dell’atto amministrativo, </w:t>
      </w:r>
      <w:r w:rsidR="006E5E63">
        <w:t xml:space="preserve">legittimamente </w:t>
      </w:r>
      <w:r w:rsidR="00685AF7">
        <w:t>richiedono</w:t>
      </w:r>
      <w:r>
        <w:t xml:space="preserve"> il pagamento di un corrispettivo sotto forma di canone, quantificato </w:t>
      </w:r>
      <w:r w:rsidR="006E5E63">
        <w:t xml:space="preserve">proprio </w:t>
      </w:r>
      <w:r>
        <w:t>in relazione alla rimozione di quel vincolo di indisponibilità a favore di un singolo soggetto economico che ne trarrà beneficio</w:t>
      </w:r>
      <w:r w:rsidR="00685AF7">
        <w:t xml:space="preserve"> per la sua attività</w:t>
      </w:r>
      <w:r>
        <w:t xml:space="preserve">. </w:t>
      </w:r>
    </w:p>
    <w:p w14:paraId="025DE92D" w14:textId="2DB1DC14" w:rsidR="00685AF7" w:rsidRDefault="00685AF7" w:rsidP="00685AF7">
      <w:pPr>
        <w:jc w:val="both"/>
      </w:pPr>
      <w:r>
        <w:t xml:space="preserve">La sentenza </w:t>
      </w:r>
      <w:r w:rsidR="006E5E63">
        <w:t xml:space="preserve">in parola, </w:t>
      </w:r>
      <w:r>
        <w:t xml:space="preserve">pronunciata dalla sezione V </w:t>
      </w:r>
      <w:r w:rsidR="006E5E63">
        <w:t xml:space="preserve">del TAR </w:t>
      </w:r>
      <w:r>
        <w:t>di Milano</w:t>
      </w:r>
      <w:r w:rsidR="006E5E63">
        <w:t>,</w:t>
      </w:r>
      <w:r>
        <w:t xml:space="preserve"> è la n. </w:t>
      </w:r>
      <w:r w:rsidR="005D25A2" w:rsidRPr="005D25A2">
        <w:t>1786 del 21.5.2025</w:t>
      </w:r>
      <w:r>
        <w:t xml:space="preserve"> </w:t>
      </w:r>
      <w:r w:rsidR="00B207F1">
        <w:t xml:space="preserve">che </w:t>
      </w:r>
      <w:r>
        <w:t xml:space="preserve">mette in evidenza come </w:t>
      </w:r>
      <w:r w:rsidR="009F762B">
        <w:t xml:space="preserve">la morosità reiterata </w:t>
      </w:r>
      <w:r w:rsidR="00B207F1">
        <w:t>dell’esponente</w:t>
      </w:r>
      <w:r>
        <w:t xml:space="preserve"> rappresenti un motivo legittimo di dinego al rilascio dell’atto di concessione.</w:t>
      </w:r>
    </w:p>
    <w:p w14:paraId="7F27E12E" w14:textId="70C1B167" w:rsidR="006E5E63" w:rsidRDefault="00685AF7" w:rsidP="00BD4889">
      <w:pPr>
        <w:jc w:val="both"/>
      </w:pPr>
      <w:r>
        <w:t>P</w:t>
      </w:r>
      <w:r w:rsidR="00B207F1">
        <w:t>a</w:t>
      </w:r>
      <w:r>
        <w:t>rt</w:t>
      </w:r>
      <w:r w:rsidR="00B207F1">
        <w:t>e</w:t>
      </w:r>
      <w:r>
        <w:t>n</w:t>
      </w:r>
      <w:r w:rsidR="00B207F1">
        <w:t>do</w:t>
      </w:r>
      <w:r>
        <w:t xml:space="preserve"> proprio dal principio che vuole l’atto di concessione come azione straordinaria che vede </w:t>
      </w:r>
      <w:r w:rsidR="006E5E63">
        <w:t xml:space="preserve">da parte della PA </w:t>
      </w:r>
      <w:r>
        <w:t xml:space="preserve">la rimozione di un vincolo di indisponibilità a favore degli interessi del singolo, </w:t>
      </w:r>
      <w:r w:rsidR="00B207F1">
        <w:t>risulta coerente e</w:t>
      </w:r>
      <w:r>
        <w:t xml:space="preserve"> legittim</w:t>
      </w:r>
      <w:r w:rsidR="00B207F1">
        <w:t>a</w:t>
      </w:r>
      <w:r>
        <w:t xml:space="preserve"> da parte dell’ente locale a cui viene avanzata la richiesta, </w:t>
      </w:r>
      <w:r w:rsidR="00B207F1">
        <w:t xml:space="preserve">la decisione di </w:t>
      </w:r>
      <w:r>
        <w:t xml:space="preserve">prevedere il diniego all’istanza </w:t>
      </w:r>
      <w:r w:rsidR="006E5E63">
        <w:t xml:space="preserve">in caso di </w:t>
      </w:r>
      <w:r>
        <w:t>morosità maturate dal richiedente in relazione alla stessa occupazioni effettuata per le annualità precedenti.</w:t>
      </w:r>
    </w:p>
    <w:p w14:paraId="22FE1312" w14:textId="794FA2DD" w:rsidR="009F762B" w:rsidRPr="006E5E63" w:rsidRDefault="00BD4889" w:rsidP="00BD4889">
      <w:pPr>
        <w:jc w:val="both"/>
      </w:pPr>
      <w:r>
        <w:t xml:space="preserve">Scrivono i giudici amministrativi: </w:t>
      </w:r>
      <w:r w:rsidRPr="00BD4889">
        <w:rPr>
          <w:i/>
          <w:iCs/>
        </w:rPr>
        <w:t>“</w:t>
      </w:r>
      <w:r w:rsidRPr="00BD4889">
        <w:rPr>
          <w:i/>
          <w:iCs/>
        </w:rPr>
        <w:t>Ebbene, sulla base di quanto allegato e documentato in atti di causa, è</w:t>
      </w:r>
      <w:r>
        <w:rPr>
          <w:i/>
          <w:iCs/>
        </w:rPr>
        <w:t xml:space="preserve"> </w:t>
      </w:r>
      <w:r w:rsidRPr="00BD4889">
        <w:rPr>
          <w:i/>
          <w:iCs/>
        </w:rPr>
        <w:t>evidente la morosità reiterata dell’esponente, relativa, fra l’altro, al pagamento</w:t>
      </w:r>
      <w:r>
        <w:rPr>
          <w:i/>
          <w:iCs/>
        </w:rPr>
        <w:t xml:space="preserve"> </w:t>
      </w:r>
      <w:r w:rsidRPr="00BD4889">
        <w:rPr>
          <w:i/>
          <w:iCs/>
        </w:rPr>
        <w:t>di precedenti canoni concessori, rispetto ai quali la stessa risulta, oltretutto,</w:t>
      </w:r>
      <w:r>
        <w:rPr>
          <w:i/>
          <w:iCs/>
        </w:rPr>
        <w:t xml:space="preserve"> </w:t>
      </w:r>
      <w:r w:rsidRPr="00BD4889">
        <w:rPr>
          <w:i/>
          <w:iCs/>
        </w:rPr>
        <w:t>decaduta dal beneficio della rateizzazione in precedenza concesso, come</w:t>
      </w:r>
      <w:r>
        <w:rPr>
          <w:i/>
          <w:iCs/>
        </w:rPr>
        <w:t xml:space="preserve"> </w:t>
      </w:r>
      <w:r w:rsidRPr="00BD4889">
        <w:rPr>
          <w:i/>
          <w:iCs/>
        </w:rPr>
        <w:t>previsto dall’art. 14 del Regolamento per la Gestione della Riscossione delle</w:t>
      </w:r>
      <w:r>
        <w:rPr>
          <w:i/>
          <w:iCs/>
        </w:rPr>
        <w:t xml:space="preserve"> </w:t>
      </w:r>
      <w:r w:rsidRPr="00BD4889">
        <w:rPr>
          <w:i/>
          <w:iCs/>
        </w:rPr>
        <w:t>Entrate Comunali, pure richiamato nel provvedimento impugnato, che</w:t>
      </w:r>
      <w:r>
        <w:rPr>
          <w:i/>
          <w:iCs/>
        </w:rPr>
        <w:t xml:space="preserve"> </w:t>
      </w:r>
      <w:r w:rsidRPr="00BD4889">
        <w:rPr>
          <w:i/>
          <w:iCs/>
        </w:rPr>
        <w:t>esclude ulteriori rateizzazioni del debito.</w:t>
      </w:r>
      <w:r>
        <w:rPr>
          <w:i/>
          <w:iCs/>
        </w:rPr>
        <w:t xml:space="preserve"> </w:t>
      </w:r>
      <w:r w:rsidRPr="00BD4889">
        <w:rPr>
          <w:i/>
          <w:iCs/>
        </w:rPr>
        <w:t>In tale contesto, risultano inconferenti le censure svolte da parte ricorrente alfine di contestare la quantificazione del debito complessivamente accumulato</w:t>
      </w:r>
      <w:r>
        <w:rPr>
          <w:i/>
          <w:iCs/>
        </w:rPr>
        <w:t xml:space="preserve"> </w:t>
      </w:r>
      <w:r w:rsidRPr="00BD4889">
        <w:rPr>
          <w:i/>
          <w:iCs/>
        </w:rPr>
        <w:t>dalla stessa nel corso degli anni, in quanto le stesse non escludono affatto che</w:t>
      </w:r>
      <w:r>
        <w:rPr>
          <w:i/>
          <w:iCs/>
        </w:rPr>
        <w:t xml:space="preserve"> </w:t>
      </w:r>
      <w:r w:rsidRPr="00BD4889">
        <w:rPr>
          <w:i/>
          <w:iCs/>
        </w:rPr>
        <w:t>tale debito vi sia e che esso rivesta, come tale, in virtù delle succitate norme</w:t>
      </w:r>
      <w:r>
        <w:rPr>
          <w:i/>
          <w:iCs/>
        </w:rPr>
        <w:t xml:space="preserve"> </w:t>
      </w:r>
      <w:r w:rsidRPr="00BD4889">
        <w:rPr>
          <w:i/>
          <w:iCs/>
        </w:rPr>
        <w:t>regolamentari, portata preclusiva del rilascio della nuova occupazione, oggetto</w:t>
      </w:r>
      <w:r>
        <w:rPr>
          <w:i/>
          <w:iCs/>
        </w:rPr>
        <w:t xml:space="preserve"> </w:t>
      </w:r>
      <w:r w:rsidRPr="00BD4889">
        <w:rPr>
          <w:i/>
          <w:iCs/>
        </w:rPr>
        <w:t>dell’istanza del 27/04/2022.</w:t>
      </w:r>
      <w:r>
        <w:rPr>
          <w:i/>
          <w:iCs/>
        </w:rPr>
        <w:t>”</w:t>
      </w:r>
    </w:p>
    <w:p w14:paraId="73056D5C" w14:textId="7B47E8DB" w:rsidR="00BD4889" w:rsidRDefault="00BD4889" w:rsidP="00BD4889">
      <w:pPr>
        <w:jc w:val="both"/>
      </w:pPr>
      <w:r>
        <w:t xml:space="preserve">La questione riporta quindi </w:t>
      </w:r>
      <w:r w:rsidR="00E02E03">
        <w:t>d’attualità</w:t>
      </w:r>
      <w:r>
        <w:t xml:space="preserve"> la procedura di diniego delle concessioni in caso di morosità. Previsione riportata nei principali schemi regolamentari </w:t>
      </w:r>
      <w:r w:rsidR="006E5E63">
        <w:t xml:space="preserve">CUP </w:t>
      </w:r>
      <w:r>
        <w:t>seguiti dagli enti locali che prevedono</w:t>
      </w:r>
      <w:r w:rsidR="00E02E03">
        <w:t>,</w:t>
      </w:r>
      <w:r>
        <w:t xml:space="preserve"> proprio </w:t>
      </w:r>
      <w:r w:rsidR="00D67042">
        <w:t>come</w:t>
      </w:r>
      <w:r w:rsidR="00E02E03">
        <w:t xml:space="preserve"> nel contenzioso radicato </w:t>
      </w:r>
      <w:r w:rsidR="006E5E63">
        <w:t>davanti al</w:t>
      </w:r>
      <w:r w:rsidR="00E02E03">
        <w:t xml:space="preserve"> TAR Lombardia, </w:t>
      </w:r>
      <w:r w:rsidR="0037078E">
        <w:t>che, in</w:t>
      </w:r>
      <w:r w:rsidR="00D67042">
        <w:t xml:space="preserve"> caso di </w:t>
      </w:r>
      <w:r>
        <w:t>presenza di morosità</w:t>
      </w:r>
      <w:r w:rsidR="006E5E63">
        <w:t xml:space="preserve"> reiterata</w:t>
      </w:r>
      <w:r w:rsidR="00D67042" w:rsidRPr="00D67042">
        <w:t xml:space="preserve"> </w:t>
      </w:r>
      <w:r w:rsidR="00D67042" w:rsidRPr="00D67042">
        <w:t xml:space="preserve">per canoni pregressi afferenti </w:t>
      </w:r>
      <w:r w:rsidR="00D67042" w:rsidRPr="00D67042">
        <w:t>all’occupazione</w:t>
      </w:r>
      <w:r w:rsidR="00D67042" w:rsidRPr="00D67042">
        <w:t xml:space="preserve"> di suolo pubblico</w:t>
      </w:r>
      <w:r w:rsidR="00D67042">
        <w:t>, questa c</w:t>
      </w:r>
      <w:r w:rsidR="00D67042" w:rsidRPr="00D67042">
        <w:t>ostituisc</w:t>
      </w:r>
      <w:r w:rsidR="00D67042">
        <w:t>a</w:t>
      </w:r>
      <w:r w:rsidR="00D67042" w:rsidRPr="00D67042">
        <w:t xml:space="preserve"> pregiudiziale causa ostativa al rilascio o rinnovo della concessione</w:t>
      </w:r>
      <w:r w:rsidR="00D67042">
        <w:t>.</w:t>
      </w:r>
    </w:p>
    <w:p w14:paraId="444268F7" w14:textId="3C2DFFD9" w:rsidR="00BD4889" w:rsidRDefault="00B35752" w:rsidP="00BD4889">
      <w:pPr>
        <w:jc w:val="both"/>
      </w:pPr>
      <w:r>
        <w:t xml:space="preserve">In passato avevamo già scritto di come </w:t>
      </w:r>
      <w:r w:rsidR="006E5E63">
        <w:t>sia</w:t>
      </w:r>
      <w:r>
        <w:t xml:space="preserve"> legittimo e quanto mai necessario tutelare l’interesse pubblico e quello dell’ente stesso, prevedendo delle condizioni di regolarità nei confronti di chi chiede di sfruttare un bene pubblico sottraendolo alla collettività per i propri interessi privati.</w:t>
      </w:r>
      <w:r w:rsidR="0037078E">
        <w:t xml:space="preserve"> Rappresenta un segno di rispetto e di tutela del demanio pubblico che non potrà essere sfruttato liberamente per iniziative economiche senza riconoscere, a beneficio della collettività, una forma di ristoro rappresentato proprio dal pagamento del canone all’ente locale competente.</w:t>
      </w:r>
    </w:p>
    <w:p w14:paraId="5B0C6F87" w14:textId="1B3F64BC" w:rsidR="0037078E" w:rsidRPr="00BD4889" w:rsidRDefault="0037078E" w:rsidP="00BD4889">
      <w:pPr>
        <w:jc w:val="both"/>
      </w:pPr>
      <w:r>
        <w:t xml:space="preserve">Questa sentenza conferma </w:t>
      </w:r>
      <w:r w:rsidR="006E5E63">
        <w:t xml:space="preserve">quindi </w:t>
      </w:r>
      <w:r>
        <w:t>la correttezza dell’operato del Comune che ha negato il rilascio dell’autorizzazione ad una azienda che, nonostante sfruttasse ampiamente lo spazio pubblico</w:t>
      </w:r>
      <w:r w:rsidR="006E5E63">
        <w:t>, peraltro</w:t>
      </w:r>
      <w:r>
        <w:t xml:space="preserve"> in una zona di grande pregio commerciale, non versava da anni il giusto corrispettivo.</w:t>
      </w:r>
    </w:p>
    <w:sectPr w:rsidR="0037078E" w:rsidRPr="00BD48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D6"/>
    <w:rsid w:val="00060149"/>
    <w:rsid w:val="00084F1C"/>
    <w:rsid w:val="0037078E"/>
    <w:rsid w:val="005D25A2"/>
    <w:rsid w:val="00685AF7"/>
    <w:rsid w:val="006E5E63"/>
    <w:rsid w:val="007B1496"/>
    <w:rsid w:val="007C59F1"/>
    <w:rsid w:val="009F762B"/>
    <w:rsid w:val="00AC7134"/>
    <w:rsid w:val="00B207F1"/>
    <w:rsid w:val="00B35752"/>
    <w:rsid w:val="00BD4889"/>
    <w:rsid w:val="00D67042"/>
    <w:rsid w:val="00E02E03"/>
    <w:rsid w:val="00EB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CE816"/>
  <w15:chartTrackingRefBased/>
  <w15:docId w15:val="{E368AC95-4D6A-4F13-BA1A-8FC0ECF3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65D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65D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65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65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65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65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65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65D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65D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65D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6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8</cp:revision>
  <dcterms:created xsi:type="dcterms:W3CDTF">2025-07-01T08:49:00Z</dcterms:created>
  <dcterms:modified xsi:type="dcterms:W3CDTF">2025-07-02T14:26:00Z</dcterms:modified>
</cp:coreProperties>
</file>