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CB52" w14:textId="7373FDE0" w:rsidR="00060149" w:rsidRDefault="0060347E">
      <w:r>
        <w:t xml:space="preserve">Titolo: </w:t>
      </w:r>
      <w:r w:rsidRPr="0060347E">
        <w:t>nuova sentenza sulla prescrizione decennale del canone per l'occupazione del suolo pubblico</w:t>
      </w:r>
    </w:p>
    <w:p w14:paraId="2D25FC9F" w14:textId="50BC5F77" w:rsidR="0060347E" w:rsidRDefault="00306F0F">
      <w:r>
        <w:t>Di Alessandro Merciari</w:t>
      </w:r>
    </w:p>
    <w:p w14:paraId="66BF4BC2" w14:textId="70F59EF5" w:rsidR="0060347E" w:rsidRDefault="0060347E" w:rsidP="00C4396A">
      <w:pPr>
        <w:jc w:val="both"/>
      </w:pPr>
      <w:r>
        <w:t xml:space="preserve">È stata pubblicata la sentenza di Corte di Cassazione numero </w:t>
      </w:r>
      <w:r w:rsidRPr="0060347E">
        <w:t>17182</w:t>
      </w:r>
      <w:r>
        <w:t xml:space="preserve"> </w:t>
      </w:r>
      <w:r w:rsidRPr="0060347E">
        <w:t>de</w:t>
      </w:r>
      <w:r>
        <w:t xml:space="preserve">l </w:t>
      </w:r>
      <w:r w:rsidRPr="0060347E">
        <w:t>26</w:t>
      </w:r>
      <w:r>
        <w:t xml:space="preserve"> giugno </w:t>
      </w:r>
      <w:r w:rsidRPr="0060347E">
        <w:t>2025</w:t>
      </w:r>
      <w:r>
        <w:t xml:space="preserve"> con la quale la Suprema Corte si è espressa in riferimento ad un contenzioso COSAP, il prelievo</w:t>
      </w:r>
      <w:r w:rsidR="00C4396A">
        <w:t xml:space="preserve"> di natura</w:t>
      </w:r>
      <w:r>
        <w:t xml:space="preserve"> patrimoniale dedicato alle occupazioni di suolo pubblico oggi sostituito dal Canone Unico Patrimoniale.</w:t>
      </w:r>
    </w:p>
    <w:p w14:paraId="0F0BACB0" w14:textId="758C3F0D" w:rsidR="0060347E" w:rsidRDefault="0060347E" w:rsidP="00C4396A">
      <w:pPr>
        <w:jc w:val="both"/>
      </w:pPr>
      <w:r>
        <w:t>La Cassazione torna su una questione importante legata al termine di prescrizione a cui sono sottoposti i canoni patrimoniali</w:t>
      </w:r>
      <w:r w:rsidR="00C4396A">
        <w:t xml:space="preserve"> e nel farlo esprime concetti chiari e circostanziati che oggi possiamo mutuare nell’odierna disciplina CUP basata sugli stessi principi e presupposti del precedente prelievo </w:t>
      </w:r>
      <w:proofErr w:type="spellStart"/>
      <w:r w:rsidR="00C4396A">
        <w:t>Cosap</w:t>
      </w:r>
      <w:proofErr w:type="spellEnd"/>
      <w:r w:rsidR="00C4396A">
        <w:t>.</w:t>
      </w:r>
    </w:p>
    <w:p w14:paraId="7BE610F7" w14:textId="31D82AD1" w:rsidR="00C4396A" w:rsidRDefault="00586389" w:rsidP="00C4396A">
      <w:pPr>
        <w:jc w:val="both"/>
      </w:pPr>
      <w:r>
        <w:t xml:space="preserve">Con questo approfondimento mettiamo l’accento su due </w:t>
      </w:r>
      <w:r w:rsidR="00C4396A">
        <w:t xml:space="preserve">passaggi </w:t>
      </w:r>
      <w:r>
        <w:t>de</w:t>
      </w:r>
      <w:r w:rsidR="00C4396A">
        <w:t xml:space="preserve">lla sentenza. Il primo chiarisce </w:t>
      </w:r>
      <w:r>
        <w:t>la natura e il presupposto dell’entrata, il secondo, collegato al primo, il suo termine di prescrizione.</w:t>
      </w:r>
    </w:p>
    <w:p w14:paraId="165600C5" w14:textId="47317934" w:rsidR="00586389" w:rsidRDefault="00586389" w:rsidP="00C4396A">
      <w:pPr>
        <w:jc w:val="both"/>
        <w:rPr>
          <w:b/>
          <w:bCs/>
        </w:rPr>
      </w:pPr>
      <w:r>
        <w:rPr>
          <w:b/>
          <w:bCs/>
        </w:rPr>
        <w:t>Natura e formazione del presupposto</w:t>
      </w:r>
    </w:p>
    <w:p w14:paraId="7C22A0A6" w14:textId="2F031AE6" w:rsidR="00586389" w:rsidRPr="00586389" w:rsidRDefault="00586389" w:rsidP="00586389">
      <w:pPr>
        <w:jc w:val="both"/>
        <w:rPr>
          <w:i/>
          <w:iCs/>
        </w:rPr>
      </w:pPr>
      <w:r w:rsidRPr="00586389">
        <w:t>Scrivono i giudici:</w:t>
      </w:r>
      <w:r>
        <w:t xml:space="preserve"> “</w:t>
      </w:r>
      <w:r w:rsidRPr="00586389">
        <w:rPr>
          <w:i/>
          <w:iCs/>
        </w:rPr>
        <w:t xml:space="preserve">Invero, il </w:t>
      </w:r>
      <w:proofErr w:type="spellStart"/>
      <w:r w:rsidRPr="00586389">
        <w:rPr>
          <w:i/>
          <w:iCs/>
        </w:rPr>
        <w:t>cosap</w:t>
      </w:r>
      <w:proofErr w:type="spellEnd"/>
      <w:r w:rsidRPr="00586389">
        <w:rPr>
          <w:i/>
          <w:iCs/>
        </w:rPr>
        <w:t xml:space="preserve"> risulta configurato come corrispettivo di una concessione, reale o presunta (nel caso di occupazione abusiva), dell'uso esclusivo o speciale di beni pubblici ed è dovuto non in base alla limitazione o sottrazione all'uso normale o collettivo di parte del suolo, ma in relazione all'utilizzazione particolare o eccezionale che ne trae il singolo, ed è irrilevante la mancanza di una formale concessione quando vi sia un'occupazione di fatto del suolo pubblico (Cass., n. 16395/2021; Cass., n. 17296 del 27/06/2019; Cass., n. 18037 del 06/08/2009; Cass., n. 3710 dell'8/02/2019; Cass., n. 10733 del 04/05/2018; Cass., n. 1435 del 19/01/2018; n. 509/2022).</w:t>
      </w:r>
      <w:r>
        <w:rPr>
          <w:i/>
          <w:iCs/>
        </w:rPr>
        <w:t>”</w:t>
      </w:r>
    </w:p>
    <w:p w14:paraId="7E1930E7" w14:textId="0FDAA1C6" w:rsidR="00586389" w:rsidRPr="00586389" w:rsidRDefault="00586389" w:rsidP="00586389">
      <w:pPr>
        <w:jc w:val="both"/>
        <w:rPr>
          <w:i/>
          <w:iCs/>
        </w:rPr>
      </w:pPr>
      <w:r>
        <w:t>Prosegue l’analisi specificando come: “</w:t>
      </w:r>
      <w:r w:rsidRPr="00586389">
        <w:rPr>
          <w:i/>
          <w:iCs/>
        </w:rPr>
        <w:t>La giurisprudenza di questa Corte (Cass., n.3710/2019, 18769/2017 e n. 9240/2022), ha affermato, infatti, che il diritto al canone trova la sua fonte nel provvedimento concessorio, ma non può essere considerato oggetto di trattativa privata: l'obbligazione di corrispondere il canone nasce (non con l'accertamento, ma) con l'occupazione del demanio pubblico, con o senza titolo; ed il diritto a tale canone e la sua determinazione non possono essere oggetto di rinuncia.</w:t>
      </w:r>
      <w:r>
        <w:rPr>
          <w:i/>
          <w:iCs/>
        </w:rPr>
        <w:t>”</w:t>
      </w:r>
    </w:p>
    <w:p w14:paraId="78DD1800" w14:textId="1DC212A0" w:rsidR="00586389" w:rsidRDefault="00586389" w:rsidP="00586389">
      <w:pPr>
        <w:jc w:val="both"/>
        <w:rPr>
          <w:i/>
          <w:iCs/>
        </w:rPr>
      </w:pPr>
      <w:r>
        <w:t>Per i giudici della sezione 1 della Corte di Cassazione: “</w:t>
      </w:r>
      <w:r w:rsidRPr="00586389">
        <w:rPr>
          <w:i/>
          <w:iCs/>
        </w:rPr>
        <w:t>Non rileva, pertanto, la lamentata mancanza di un provvedimento concessorio formale (Cass., n. 1435/2018), in quanto il canone per l'occupazione di spazi ed aree pubbliche (</w:t>
      </w:r>
      <w:proofErr w:type="spellStart"/>
      <w:r w:rsidRPr="00586389">
        <w:rPr>
          <w:i/>
          <w:iCs/>
        </w:rPr>
        <w:t>cosap</w:t>
      </w:r>
      <w:proofErr w:type="spellEnd"/>
      <w:r w:rsidRPr="00586389">
        <w:rPr>
          <w:i/>
          <w:iCs/>
        </w:rPr>
        <w:t>) costituisce il corrispettivo dell'utilizzazione particolare (o eccezionale) di beni pubblici e non richiede un formale atto di concessione, essendo sufficiente l'occupazione di fatto dei menzionati beni (Cass., n. 16395/2021; n. 1435/2028).</w:t>
      </w:r>
      <w:r>
        <w:rPr>
          <w:i/>
          <w:iCs/>
        </w:rPr>
        <w:t>”</w:t>
      </w:r>
    </w:p>
    <w:p w14:paraId="0018EF38" w14:textId="2904476E" w:rsidR="00586389" w:rsidRDefault="00586389" w:rsidP="00586389">
      <w:pPr>
        <w:jc w:val="both"/>
        <w:rPr>
          <w:b/>
          <w:bCs/>
        </w:rPr>
      </w:pPr>
      <w:r w:rsidRPr="00586389">
        <w:rPr>
          <w:b/>
          <w:bCs/>
        </w:rPr>
        <w:t>La questione della prescrizione decennale</w:t>
      </w:r>
    </w:p>
    <w:p w14:paraId="243295EA" w14:textId="2032324C" w:rsidR="00586389" w:rsidRDefault="00586389" w:rsidP="00586389">
      <w:pPr>
        <w:jc w:val="both"/>
      </w:pPr>
      <w:r>
        <w:t>Collegata alla natura del prelievo e alla sua formazione, i giudici si esprimono sul termine di prescrizione dell’entrata.</w:t>
      </w:r>
    </w:p>
    <w:p w14:paraId="68E596F1" w14:textId="359056CE" w:rsidR="00300455" w:rsidRDefault="00586389" w:rsidP="00586389">
      <w:pPr>
        <w:jc w:val="both"/>
        <w:rPr>
          <w:i/>
          <w:iCs/>
        </w:rPr>
      </w:pPr>
      <w:r>
        <w:t>Si legge nella sentenza: “</w:t>
      </w:r>
      <w:r w:rsidRPr="00586389">
        <w:rPr>
          <w:i/>
          <w:iCs/>
        </w:rPr>
        <w:t xml:space="preserve">va osservato che l'indennità di occupazione legittima non è assimilabile al canone di locazione o alle altre prestazioni periodiche di cui all'art. 2948 </w:t>
      </w:r>
      <w:proofErr w:type="spellStart"/>
      <w:r w:rsidRPr="00586389">
        <w:rPr>
          <w:i/>
          <w:iCs/>
        </w:rPr>
        <w:t>nn</w:t>
      </w:r>
      <w:proofErr w:type="spellEnd"/>
      <w:r w:rsidRPr="00586389">
        <w:rPr>
          <w:i/>
          <w:iCs/>
        </w:rPr>
        <w:t>. 1, 1 bis e 2 cod. civ., in quanto assolve alla funzione di compensare "medio tempore", per tutta la durata dello stato di indisponibilità del bene, il detrimento dato dal suo mancato godimento; ne' può essere inclusa nella previsione di cui al n. 4 dell'art. 2948 ( relativa a "tutto ciò che deve pagarsi periodicamente ad anno o in termini più brevi"), in quanto tale norma si riferisce alla sola fattispecie in cui da un unico rapporto giuridico derivino obbligazioni con scadenza periodica non superiore ad un anno, e non anche a quella, ricorrente nel caso in questione, in cui da un unico provvedimento derivino tanti rapporti autonomi aventi durata annuale (o inferiore) e ciascuno con apposito indennizzo da pagarsi in un'unica soluzione e da commisurarsi all'indennità di espropriazione - effettiva o virtuale - dovuta se l'immobile fosse stato espropriato in quell'anno;</w:t>
      </w:r>
      <w:r w:rsidR="00300455">
        <w:rPr>
          <w:i/>
          <w:iCs/>
        </w:rPr>
        <w:t>”</w:t>
      </w:r>
      <w:r w:rsidRPr="00586389">
        <w:rPr>
          <w:i/>
          <w:iCs/>
        </w:rPr>
        <w:t xml:space="preserve"> </w:t>
      </w:r>
    </w:p>
    <w:p w14:paraId="12F21C58" w14:textId="77777777" w:rsidR="00300455" w:rsidRDefault="00300455" w:rsidP="00586389">
      <w:pPr>
        <w:jc w:val="both"/>
      </w:pPr>
      <w:r>
        <w:lastRenderedPageBreak/>
        <w:t xml:space="preserve">Decisivo il passaggio in cui i giudici affermano come </w:t>
      </w:r>
      <w:r w:rsidRPr="00300455">
        <w:t>da un unico provvedimento derivino tanti rapporti autonomi aventi durata annuale</w:t>
      </w:r>
      <w:r>
        <w:t xml:space="preserve">. </w:t>
      </w:r>
    </w:p>
    <w:p w14:paraId="304FA291" w14:textId="6CE2B8FC" w:rsidR="00586389" w:rsidRPr="00586389" w:rsidRDefault="00300455" w:rsidP="00586389">
      <w:pPr>
        <w:jc w:val="both"/>
        <w:rPr>
          <w:i/>
          <w:iCs/>
        </w:rPr>
      </w:pPr>
      <w:r>
        <w:t>Da questo concetto, ricorrente in materia di COSAP e oggi di CUP, si può arrivare a ritenere che: “</w:t>
      </w:r>
      <w:r w:rsidR="00586389" w:rsidRPr="00586389">
        <w:rPr>
          <w:i/>
          <w:iCs/>
        </w:rPr>
        <w:t>sicché essa, costituendo un'obbligazione di tipo indennitario collegata ad un'ipotesi tipica di responsabilità della P.A. per atti legittimi, è sottoposta all'ordinaria prescrizione decennale, che rimane collegata al compimento di ciascun anno di occupazione e che, perciò, decorre dal giorno in cui ha termine la relativa annualità ovvero l'occupazione stessa ove antecedente alla scadenza dell'anno (Cass., n. 17111/2004; n. 22913/2010).</w:t>
      </w:r>
    </w:p>
    <w:p w14:paraId="2FA3314F" w14:textId="33245ECF" w:rsidR="00586389" w:rsidRDefault="00300455" w:rsidP="00586389">
      <w:pPr>
        <w:jc w:val="both"/>
        <w:rPr>
          <w:i/>
          <w:iCs/>
        </w:rPr>
      </w:pPr>
      <w:r>
        <w:t>Seguendo il medesimo ragionamento si arriva anche a prevedere che: “</w:t>
      </w:r>
      <w:r w:rsidR="00586389" w:rsidRPr="00586389">
        <w:rPr>
          <w:i/>
          <w:iCs/>
        </w:rPr>
        <w:t>Neppure l’art. 2948, n. 4), c.c., è applicabile, posto che esso concerne il caso in cui da un unico rapporto giuridico derivino obbligazioni con scadenza periodica non superiore ad un anno, e non il caso di concessioni o autorizzazioni aventi ciascuna un apposito canone da pagarsi in unica soluzione (Cass., n. 6651/1981).</w:t>
      </w:r>
      <w:r>
        <w:rPr>
          <w:i/>
          <w:iCs/>
        </w:rPr>
        <w:t>”</w:t>
      </w:r>
    </w:p>
    <w:p w14:paraId="1E79B46A" w14:textId="75205281" w:rsidR="00300455" w:rsidRPr="00300455" w:rsidRDefault="00300455" w:rsidP="00586389">
      <w:pPr>
        <w:jc w:val="both"/>
      </w:pPr>
      <w:r>
        <w:t xml:space="preserve">In definitiva la Corte </w:t>
      </w:r>
      <w:proofErr w:type="gramStart"/>
      <w:r>
        <w:t>di  Cassazione</w:t>
      </w:r>
      <w:proofErr w:type="gramEnd"/>
      <w:r>
        <w:t xml:space="preserve"> consolida l’orientamento che vuole l’entrata dedicata alle occupazioni di suolo pubblico appartenete al demanio o al patrimonio indisponibile degli enti, sottoposta all’ordinaria prescrizione decennale.</w:t>
      </w:r>
    </w:p>
    <w:p w14:paraId="2BDE0B89" w14:textId="22A76603" w:rsidR="00586389" w:rsidRPr="00586389" w:rsidRDefault="00586389" w:rsidP="00586389">
      <w:pPr>
        <w:jc w:val="both"/>
      </w:pPr>
    </w:p>
    <w:p w14:paraId="36D6D977" w14:textId="54EEB222" w:rsidR="00586389" w:rsidRPr="00586389" w:rsidRDefault="00586389" w:rsidP="00C4396A">
      <w:pPr>
        <w:jc w:val="both"/>
      </w:pPr>
    </w:p>
    <w:sectPr w:rsidR="00586389" w:rsidRPr="005863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3C"/>
    <w:rsid w:val="00060149"/>
    <w:rsid w:val="00300455"/>
    <w:rsid w:val="00306F0F"/>
    <w:rsid w:val="0041473C"/>
    <w:rsid w:val="00586389"/>
    <w:rsid w:val="0060347E"/>
    <w:rsid w:val="007B1496"/>
    <w:rsid w:val="00B91C48"/>
    <w:rsid w:val="00C4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1A11"/>
  <w15:chartTrackingRefBased/>
  <w15:docId w15:val="{F06E3093-79BC-4EF7-B2FE-E6B485D8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4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4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4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4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4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473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473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47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47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47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47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47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47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473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4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473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4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2025-07-23T08:29:00Z</dcterms:created>
  <dcterms:modified xsi:type="dcterms:W3CDTF">2025-07-23T09:17:00Z</dcterms:modified>
</cp:coreProperties>
</file>