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A3ECA" w14:textId="72BAC98F" w:rsidR="00060149" w:rsidRDefault="00FF6990">
      <w:r>
        <w:t xml:space="preserve">Titolo: </w:t>
      </w:r>
      <w:r w:rsidRPr="00FF6990">
        <w:t>orientamento sempre più consolidato nei contenziosi sulla tassazione dei viadotti autostradali</w:t>
      </w:r>
    </w:p>
    <w:p w14:paraId="01327C2B" w14:textId="5CAF5E3A" w:rsidR="00FF6990" w:rsidRDefault="00FF6990">
      <w:r>
        <w:t>Di Alessandro Merciari</w:t>
      </w:r>
    </w:p>
    <w:p w14:paraId="08EB3A66" w14:textId="77777777" w:rsidR="00FF6990" w:rsidRDefault="00FF6990"/>
    <w:p w14:paraId="0F38A66C" w14:textId="5CA962E1" w:rsidR="00FF6990" w:rsidRDefault="00FF6990">
      <w:r>
        <w:t>Requisito oggettivo:</w:t>
      </w:r>
    </w:p>
    <w:p w14:paraId="54A313A1" w14:textId="326AAF78" w:rsidR="00FF6990" w:rsidRDefault="00FF6990" w:rsidP="00FF6990">
      <w:pPr>
        <w:jc w:val="both"/>
      </w:pPr>
      <w:r w:rsidRPr="00FF6990">
        <w:t>La Suprema Corte si è recentemente espressa in ordine alla legittimità del pagamento del canone per l'occupazione di spazi ed aree pubbliche c.d. COSAP</w:t>
      </w:r>
      <w:r>
        <w:t>, oggi CUP,</w:t>
      </w:r>
      <w:r w:rsidRPr="00FF6990">
        <w:t xml:space="preserve"> da parte della concessionaria autostradale affrontando specificamente tutte le questioni poste</w:t>
      </w:r>
      <w:r>
        <w:t xml:space="preserve"> nei ricorsi e </w:t>
      </w:r>
      <w:r w:rsidRPr="00FF6990">
        <w:t xml:space="preserve">statuendo come </w:t>
      </w:r>
      <w:r>
        <w:rPr>
          <w:rFonts w:ascii="Calibri" w:eastAsia="Calibri" w:hAnsi="Calibri" w:cs="Calibri"/>
        </w:rPr>
        <w:t>i</w:t>
      </w:r>
      <w:r w:rsidRPr="00FF6990">
        <w:t>l canone per l'occupazione di spazi ed aree pubbliche costituisce il corrispettivo dell'utilizzazione particolare (o eccezionale) di beni pubblici e non richiede un formale atto di concessione, essendo sufficiente l'occupazione di fatto dei menzionati beni, sicché la società, concessionaria statale, che abbia realizzato e gestito un'opera pubblica, occupando di fatto spazi rientranti nel demanio comunale o provinciale, è tenuta al pagamento del canone, non assumendo rilievo il fatto che l'opera sia di proprietà statale, poiché la condotta occupativa è posta in essere dalla società nello svolgimento, in piena autonomia, della propria attività d'impresa (cos</w:t>
      </w:r>
      <w:r>
        <w:rPr>
          <w:rFonts w:ascii="Calibri" w:eastAsia="Calibri" w:hAnsi="Calibri" w:cs="Calibri"/>
        </w:rPr>
        <w:t>ì</w:t>
      </w:r>
      <w:r w:rsidRPr="00FF6990">
        <w:t xml:space="preserve"> Cass. n. 16395 del 10/06/2021).</w:t>
      </w:r>
    </w:p>
    <w:sectPr w:rsidR="00FF699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214"/>
    <w:rsid w:val="00060149"/>
    <w:rsid w:val="007B1496"/>
    <w:rsid w:val="00C71214"/>
    <w:rsid w:val="00E63569"/>
    <w:rsid w:val="00FF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633A4"/>
  <w15:chartTrackingRefBased/>
  <w15:docId w15:val="{BD816FCB-2CB8-4B0B-B606-BBE086DF9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71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71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71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71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71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71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71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71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71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71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71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71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71214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71214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7121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7121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7121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7121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71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71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71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71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71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7121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7121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71214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71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71214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712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2</cp:revision>
  <dcterms:created xsi:type="dcterms:W3CDTF">2025-02-17T14:21:00Z</dcterms:created>
  <dcterms:modified xsi:type="dcterms:W3CDTF">2025-02-17T14:24:00Z</dcterms:modified>
</cp:coreProperties>
</file>