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FA6BE" w14:textId="60137B4D" w:rsidR="006672EA" w:rsidRDefault="00C245A0">
      <w:r>
        <w:t xml:space="preserve">Titolo: </w:t>
      </w:r>
      <w:r w:rsidR="004C78A0">
        <w:t xml:space="preserve">pagano il CUP i cartelli </w:t>
      </w:r>
      <w:r w:rsidR="00C84291">
        <w:t xml:space="preserve">esposti </w:t>
      </w:r>
      <w:r w:rsidR="004C78A0">
        <w:t>all’interno dell’area camping</w:t>
      </w:r>
      <w:r>
        <w:t xml:space="preserve"> </w:t>
      </w:r>
    </w:p>
    <w:p w14:paraId="0C99441D" w14:textId="7C891B8B" w:rsidR="00C245A0" w:rsidRDefault="00C245A0">
      <w:r>
        <w:t>Di Alessandro Merciari</w:t>
      </w:r>
    </w:p>
    <w:p w14:paraId="20932662" w14:textId="77777777" w:rsidR="00C245A0" w:rsidRDefault="00C245A0"/>
    <w:p w14:paraId="2B6A09A7" w14:textId="627435F7" w:rsidR="00C245A0" w:rsidRDefault="00C245A0" w:rsidP="00C245A0">
      <w:pPr>
        <w:jc w:val="both"/>
      </w:pPr>
      <w:r>
        <w:t xml:space="preserve">È stata pubblicata </w:t>
      </w:r>
      <w:r w:rsidR="005A0423">
        <w:t>la</w:t>
      </w:r>
      <w:r>
        <w:t xml:space="preserve"> sentenza </w:t>
      </w:r>
      <w:r w:rsidR="005A0423">
        <w:t>n</w:t>
      </w:r>
      <w:r w:rsidR="005A0423" w:rsidRPr="005A0423">
        <w:t>. 1164</w:t>
      </w:r>
      <w:r w:rsidR="005A0423">
        <w:t>/</w:t>
      </w:r>
      <w:r w:rsidR="005A0423" w:rsidRPr="005A0423">
        <w:t>2026</w:t>
      </w:r>
      <w:r w:rsidR="005A0423">
        <w:t xml:space="preserve"> </w:t>
      </w:r>
      <w:r>
        <w:t xml:space="preserve">della </w:t>
      </w:r>
      <w:r w:rsidR="005A0423">
        <w:t xml:space="preserve">Sezione 5 della </w:t>
      </w:r>
      <w:r>
        <w:t>Corte di Cassazione</w:t>
      </w:r>
      <w:r w:rsidR="005A0423">
        <w:t xml:space="preserve"> </w:t>
      </w:r>
      <w:r w:rsidR="004C78A0">
        <w:t>chiamata ad esprimersi</w:t>
      </w:r>
      <w:r>
        <w:t xml:space="preserve"> sulla formazione del presupposto pubblicitario, consegnandoci </w:t>
      </w:r>
      <w:r w:rsidR="004C78A0">
        <w:t>una risposta</w:t>
      </w:r>
      <w:r>
        <w:t xml:space="preserve"> util</w:t>
      </w:r>
      <w:r w:rsidR="004C78A0">
        <w:t>e</w:t>
      </w:r>
      <w:r>
        <w:t xml:space="preserve"> sia in relazione al vecchio prelievo dell’Imposta Comunale sulla Pubblicità (ICP) sia </w:t>
      </w:r>
      <w:r w:rsidR="004C78A0">
        <w:t>in funzione del</w:t>
      </w:r>
      <w:r>
        <w:t xml:space="preserve">l’attuale Canone Unico Patrimoniale (CUP). Due forme di prelievo i cui presupposti </w:t>
      </w:r>
      <w:r w:rsidR="004C78A0">
        <w:t xml:space="preserve">applicativi </w:t>
      </w:r>
      <w:r>
        <w:t xml:space="preserve">si possono tranquillamente sovrapporre. L’articolo 5 del D.Lgs 507/1993 e il comma 819 lettera B della Legge 160/2019, </w:t>
      </w:r>
      <w:r w:rsidR="004C78A0">
        <w:t xml:space="preserve">infatti </w:t>
      </w:r>
      <w:r>
        <w:t xml:space="preserve">dettano sostanzialmente le stesse previsioni </w:t>
      </w:r>
      <w:r w:rsidR="004C78A0">
        <w:t>ai fini de</w:t>
      </w:r>
      <w:r>
        <w:t>l pagamento dell’entrata legata alla diffusione pubblicitaria.</w:t>
      </w:r>
    </w:p>
    <w:p w14:paraId="7B15F2D3" w14:textId="3D97F201" w:rsidR="00C245A0" w:rsidRDefault="00C245A0" w:rsidP="00C245A0">
      <w:pPr>
        <w:jc w:val="both"/>
      </w:pPr>
      <w:r>
        <w:t>Nel ricorso s</w:t>
      </w:r>
      <w:r w:rsidR="004C78A0">
        <w:t xml:space="preserve">viene </w:t>
      </w:r>
      <w:r>
        <w:t>analizza</w:t>
      </w:r>
      <w:r w:rsidR="004C78A0">
        <w:t>ta</w:t>
      </w:r>
      <w:r>
        <w:t xml:space="preserve"> una situazione particolare, ovvero la diffusione di messaggi all’interno di un’area di campeggio. Si tratta di una serie di </w:t>
      </w:r>
      <w:r w:rsidRPr="00C245A0">
        <w:t xml:space="preserve">cartelli </w:t>
      </w:r>
      <w:r>
        <w:t xml:space="preserve">posizionati </w:t>
      </w:r>
      <w:r w:rsidRPr="00C245A0">
        <w:t xml:space="preserve">all’interno di luoghi aperti al pubblico </w:t>
      </w:r>
      <w:r>
        <w:t>per i quali i</w:t>
      </w:r>
      <w:r w:rsidR="004C78A0">
        <w:t xml:space="preserve"> Giudici della suprema Corte di Cassazione devono esprimersi </w:t>
      </w:r>
      <w:r>
        <w:t>sulla loro potenziale attrazione nel presupposto</w:t>
      </w:r>
      <w:r w:rsidR="004C78A0">
        <w:t>,</w:t>
      </w:r>
      <w:r>
        <w:t xml:space="preserve"> </w:t>
      </w:r>
      <w:r w:rsidR="004C78A0">
        <w:t xml:space="preserve">valutando se si concretizza </w:t>
      </w:r>
      <w:r>
        <w:t xml:space="preserve">in quanto </w:t>
      </w:r>
      <w:r w:rsidRPr="00C245A0">
        <w:t>destinati a promuovere la domanda di beni e servizi ovvero finalizzata a migliorare l'immagine del soggetto pubblicizzato</w:t>
      </w:r>
      <w:r>
        <w:t xml:space="preserve">, oppure </w:t>
      </w:r>
      <w:r w:rsidR="004C78A0">
        <w:t xml:space="preserve">se ne rimangono </w:t>
      </w:r>
      <w:r>
        <w:t xml:space="preserve">esclusi </w:t>
      </w:r>
      <w:r w:rsidRPr="00C245A0">
        <w:t>in quant</w:t>
      </w:r>
      <w:r>
        <w:t xml:space="preserve">o </w:t>
      </w:r>
      <w:r w:rsidRPr="00C245A0">
        <w:t>il solo scopo</w:t>
      </w:r>
      <w:r>
        <w:t xml:space="preserve"> della loro esposizione </w:t>
      </w:r>
      <w:r w:rsidR="004C78A0">
        <w:t>è riconducibile alla volontà</w:t>
      </w:r>
      <w:r w:rsidRPr="00C245A0">
        <w:t xml:space="preserve"> di orientare i fruitori </w:t>
      </w:r>
      <w:r w:rsidR="004C78A0">
        <w:t xml:space="preserve">del campeggio </w:t>
      </w:r>
      <w:r w:rsidRPr="00C245A0">
        <w:t>all’interno della struttura.</w:t>
      </w:r>
      <w:r>
        <w:t xml:space="preserve"> </w:t>
      </w:r>
    </w:p>
    <w:p w14:paraId="6EBF6837" w14:textId="5F806F7E" w:rsidR="00C245A0" w:rsidRDefault="003A2DAB" w:rsidP="00C245A0">
      <w:pPr>
        <w:jc w:val="both"/>
      </w:pPr>
      <w:r>
        <w:t xml:space="preserve">Per i giudici della Cassazione, i colleghi della CTR del Veneto avevano </w:t>
      </w:r>
      <w:r w:rsidRPr="003A2DAB">
        <w:t>trascurato di verificare se</w:t>
      </w:r>
      <w:r>
        <w:t xml:space="preserve"> </w:t>
      </w:r>
      <w:r w:rsidRPr="003A2DAB">
        <w:t xml:space="preserve">l'uso del segno distintivo era stato effettuato in chiave semplicemente identificativa dei prodotti e dei servizi dell'impresa o se </w:t>
      </w:r>
      <w:r w:rsidR="004C78A0">
        <w:t xml:space="preserve">invece </w:t>
      </w:r>
      <w:r w:rsidRPr="003A2DAB">
        <w:t>vi era stato un uso del segno distintivo in chiave pubblicitaria, con la precisazione che quel che conta, ai fini della imposta comunale sulla pubblicità</w:t>
      </w:r>
      <w:r>
        <w:t xml:space="preserve"> (e oggi ai fini del CUP)</w:t>
      </w:r>
      <w:r w:rsidRPr="003A2DAB">
        <w:t>, al di là delle intenzioni</w:t>
      </w:r>
      <w:r>
        <w:t xml:space="preserve"> </w:t>
      </w:r>
      <w:r w:rsidRPr="003A2DAB">
        <w:t>soggettive, è l'oggettivo risultato conseguito con il messaggio dal soggetto interessato alla pubblicità.</w:t>
      </w:r>
    </w:p>
    <w:p w14:paraId="27F23A30" w14:textId="458EE059" w:rsidR="003A2DAB" w:rsidRDefault="003A2DAB" w:rsidP="00C245A0">
      <w:pPr>
        <w:jc w:val="both"/>
      </w:pPr>
      <w:r>
        <w:t xml:space="preserve">Più volte la Corte di Cassazione ha stabilito che </w:t>
      </w:r>
      <w:r w:rsidRPr="003A2DAB">
        <w:t>l'uso del segno distintivo dell'impresa o del prodotto (ditta, ragione sociale, marchio) non è escluso dall'ambito delle forme pubblicitarie imponibili quando, per il luogo (pubblico, aperto o esposto al pubblico) ove è situato, per le sue caratteristiche strutturali o per le modalità con cui viene utilizzato, il segno risulti obiettivamente idoneo a far conoscere ad un numero indeterminato di possibili acquirenti o utenti il nome, l'attività o il prodotto dell'impresa, e non abbia, quindi, soltanto una mera finalità distintiva (Cass. Sez. 5, 11/05/2018, n. 11530; vedi anche Cass. n. 9580 del 1994 n. 15654 del 2004; n. 20830 del 2005, n. 8658 del 2015).</w:t>
      </w:r>
    </w:p>
    <w:p w14:paraId="4190E950" w14:textId="29F2F6B3" w:rsidR="00966AFE" w:rsidRPr="00966AFE" w:rsidRDefault="00966AFE" w:rsidP="00966AFE">
      <w:pPr>
        <w:jc w:val="both"/>
      </w:pPr>
      <w:r w:rsidRPr="00966AFE">
        <w:t xml:space="preserve">L’orientamento </w:t>
      </w:r>
      <w:r w:rsidR="004C78A0">
        <w:t xml:space="preserve">oggi consolidato </w:t>
      </w:r>
      <w:r w:rsidRPr="00966AFE">
        <w:t xml:space="preserve">deriva dalla sentenza </w:t>
      </w:r>
      <w:r>
        <w:t xml:space="preserve">della stessa Corte </w:t>
      </w:r>
      <w:r w:rsidRPr="00966AFE">
        <w:t xml:space="preserve">numero 1930 del 1990, costantemente richiamata nelle ordinanze emesse negli anni successivi. </w:t>
      </w:r>
      <w:r w:rsidR="00051068">
        <w:t xml:space="preserve">Questa </w:t>
      </w:r>
      <w:r w:rsidRPr="00966AFE">
        <w:t xml:space="preserve">sentenza </w:t>
      </w:r>
      <w:r w:rsidRPr="00966AFE">
        <w:rPr>
          <w:i/>
          <w:iCs/>
        </w:rPr>
        <w:t>madre</w:t>
      </w:r>
      <w:r w:rsidRPr="00966AFE">
        <w:t xml:space="preserve"> risalente ormai al secolo scorso ma ancora attualissima, affrontava un contenzioso basato sulla formazione del presupposto pubblicitario in merito all’esposizione di una targa esposta nel cortile interno di un fabbricato, dove a detta del ricorrente sarebbe stato falsato il concetto di "luogo aperto al pubblico". I giudici ritennero infondato il motivo di doglianza in quanto, l’allora vigente art. 6 del D.P.R. 26 ottobre 1972, n. 639 in tema di prelievo sulla pubblicità, prescriveva l’applicabilità dell’imposta per i casi in cui il mezzo pubblicitario fosse esposto o effettuato " in luoghi pubblici o aperti al pubblico o comunque da tali luoghi percepibili". </w:t>
      </w:r>
      <w:r w:rsidR="00051068">
        <w:t>Esattamente come il caso di studio con l’odierno approfondimento dove i cartelli sono esposti in un luogo privato  aperto al pubblico.</w:t>
      </w:r>
    </w:p>
    <w:p w14:paraId="226E740C" w14:textId="6F536964" w:rsidR="00966AFE" w:rsidRDefault="00966AFE" w:rsidP="00966AFE">
      <w:pPr>
        <w:jc w:val="both"/>
      </w:pPr>
      <w:r w:rsidRPr="00966AFE">
        <w:t xml:space="preserve">Nella sentenza si leggeva: </w:t>
      </w:r>
      <w:r w:rsidRPr="00966AFE">
        <w:rPr>
          <w:i/>
          <w:iCs/>
        </w:rPr>
        <w:t xml:space="preserve">“È chiaro, dall'esegesi della norma, che la legge ha voluto sottoporre a tassazione l'attività di chi, con i mezzi di cui si è detto precedentemente, intenda far pervenire ad altri un messaggio avente finalità "pubblicitarie" (in senso lato, come pure si è detto); e a tal fine ha previsto che l'attività è tassabile se viene svolta in luogo pubblico o aperto al pubblico, ovvero in un luogo che da quelli è percepibile. È chiaro, cioè, che il legislatore ha presunto che il messaggio pubblicitario abbia dei possibili destinatari se viene lanciato da uno dei detti luoghi o in direzione di essi; ed è incontestabile, allora, che il presupposto dell’imponibilità va ricercato nell'astratta possibilità del messaggio, in rapporto all'ubicazione, di avere un </w:t>
      </w:r>
      <w:r w:rsidRPr="00966AFE">
        <w:rPr>
          <w:i/>
          <w:iCs/>
        </w:rPr>
        <w:lastRenderedPageBreak/>
        <w:t>numero indeterminato di destinatari, che diventano tali solo perché vengono a trovarsi in quel luogo determinato.”</w:t>
      </w:r>
    </w:p>
    <w:p w14:paraId="45AFE471" w14:textId="77777777" w:rsidR="00BC7AC1" w:rsidRDefault="003A2DAB" w:rsidP="003A2DAB">
      <w:pPr>
        <w:jc w:val="both"/>
      </w:pPr>
      <w:r w:rsidRPr="003A2DAB">
        <w:t xml:space="preserve">Più volte </w:t>
      </w:r>
      <w:r>
        <w:t>avevamo</w:t>
      </w:r>
      <w:r w:rsidRPr="003A2DAB">
        <w:t xml:space="preserve"> affrontato la questione e chiarito come la giurisprudenza </w:t>
      </w:r>
      <w:r w:rsidR="00BC7AC1">
        <w:t>che si era</w:t>
      </w:r>
      <w:r w:rsidRPr="003A2DAB">
        <w:t xml:space="preserve"> consolidata con il precedente regime dell’Imposta sulla pubblicità, considera</w:t>
      </w:r>
      <w:r w:rsidR="00BC7AC1">
        <w:t>va</w:t>
      </w:r>
      <w:r w:rsidRPr="003A2DAB">
        <w:t xml:space="preserve"> attratte nel presupposto qualunque forma di diffusione atta a promuovere la vendita di prodotti e servizi o finalizzata a migliorare l’immagine del soggetto pubblicizzato. </w:t>
      </w:r>
    </w:p>
    <w:p w14:paraId="56D01D57" w14:textId="6CA4B99E" w:rsidR="003A2DAB" w:rsidRPr="003A2DAB" w:rsidRDefault="00BC7AC1" w:rsidP="003A2DAB">
      <w:pPr>
        <w:jc w:val="both"/>
      </w:pPr>
      <w:r>
        <w:t xml:space="preserve">Recentemente avevamo </w:t>
      </w:r>
      <w:r w:rsidR="003A2DAB">
        <w:t xml:space="preserve">già </w:t>
      </w:r>
      <w:r w:rsidR="003A2DAB" w:rsidRPr="003A2DAB">
        <w:t>analizzato</w:t>
      </w:r>
      <w:r w:rsidR="003A2DAB">
        <w:t xml:space="preserve"> anche </w:t>
      </w:r>
      <w:r w:rsidR="00051068">
        <w:t>del</w:t>
      </w:r>
      <w:r>
        <w:t xml:space="preserve">la </w:t>
      </w:r>
      <w:r w:rsidRPr="003A2DAB">
        <w:t>giurisprudenza</w:t>
      </w:r>
      <w:r w:rsidR="003A2DAB" w:rsidRPr="003A2DAB">
        <w:t xml:space="preserve"> legata a provvedimenti CUP emessi da Comuni e inerenti la solita tematica</w:t>
      </w:r>
      <w:r w:rsidR="003A2DAB">
        <w:t xml:space="preserve"> che si riconduce perfettamente all’orientamento di Cassazione formatosi negli anni</w:t>
      </w:r>
      <w:r w:rsidR="00051068">
        <w:t xml:space="preserve"> in materia di ICP</w:t>
      </w:r>
      <w:r w:rsidR="003A2DAB" w:rsidRPr="003A2DAB">
        <w:t xml:space="preserve">. </w:t>
      </w:r>
    </w:p>
    <w:p w14:paraId="087D8C64" w14:textId="63EC85EB" w:rsidR="003A2DAB" w:rsidRPr="00BC7AC1" w:rsidRDefault="00BC7AC1" w:rsidP="003A2DAB">
      <w:pPr>
        <w:jc w:val="both"/>
      </w:pPr>
      <w:r w:rsidRPr="00BC7AC1">
        <w:t>In particolare c</w:t>
      </w:r>
      <w:r w:rsidR="003A2DAB" w:rsidRPr="00BC7AC1">
        <w:t xml:space="preserve">on la sentenza n. 1151 del 10 marzo 2025, la prima Sezione Civile del Tribunale di Torino aveva rigettato il ricorso presentato rispetto alla richiesta di pagamento </w:t>
      </w:r>
      <w:r w:rsidR="00051068">
        <w:t xml:space="preserve">CUP </w:t>
      </w:r>
      <w:r w:rsidR="003A2DAB" w:rsidRPr="00BC7AC1">
        <w:t>avanzata dall’Amministrazione Comunale per l’esposizione di messaggi pubblicitari sulle vetrine di un locale sfitto all’interno di un centro commerciale.</w:t>
      </w:r>
    </w:p>
    <w:p w14:paraId="40FA3CFB" w14:textId="235951FB" w:rsidR="00BC7AC1" w:rsidRDefault="00BC7AC1" w:rsidP="00BC7AC1">
      <w:pPr>
        <w:jc w:val="both"/>
      </w:pPr>
      <w:r>
        <w:t xml:space="preserve">I giudici in quel caso sostennero che andava distinta </w:t>
      </w:r>
      <w:r w:rsidRPr="00BC7AC1">
        <w:t>la funzione sostanzialmente decorativa da quella pubblicitaria in grado di veicolare un messaggio diretto a raggiungere una pluralità di possibili acquirenti. Nel caso di specie, come accertato nella sentenza impugnata si tratta</w:t>
      </w:r>
      <w:r>
        <w:t>va</w:t>
      </w:r>
      <w:r w:rsidRPr="00BC7AC1">
        <w:t xml:space="preserve"> di “grandi fotografie che copr</w:t>
      </w:r>
      <w:r>
        <w:t>ivano</w:t>
      </w:r>
      <w:r w:rsidRPr="00BC7AC1">
        <w:t xml:space="preserve"> l’intera superficie delle vetrine di un supermercato e rappresentano cibi vari (latte, verdure, pane, formaggi, ecc.), materie prime, scene agresti, persone che cucinano, persone che consumano pasti in compagnia della famiglia o di amici”. </w:t>
      </w:r>
      <w:r>
        <w:t xml:space="preserve">Tali immagini inequivocabilmente promuovevano l’attività dell’esercente ed erano dirette a richiamare l’attenzione dell’eventuale acquirente, in quanto strettamente attinenti all’attività commerciale svolta all’interno del supermercato. </w:t>
      </w:r>
    </w:p>
    <w:p w14:paraId="37C7D42E" w14:textId="3C5773A6" w:rsidR="0003390F" w:rsidRDefault="00BC7AC1" w:rsidP="00BC7AC1">
      <w:pPr>
        <w:jc w:val="both"/>
      </w:pPr>
      <w:r>
        <w:t>Stessa situazione decisa dalla Cassazione nella sentenza oggetto</w:t>
      </w:r>
      <w:r w:rsidR="00D96074">
        <w:t xml:space="preserve"> dell’odierno approfondimento</w:t>
      </w:r>
      <w:r>
        <w:t xml:space="preserve">, </w:t>
      </w:r>
      <w:r w:rsidR="00D96074">
        <w:t>laddove</w:t>
      </w:r>
      <w:r>
        <w:t xml:space="preserve"> è stato ritenuto come</w:t>
      </w:r>
      <w:r w:rsidR="00D96074">
        <w:t xml:space="preserve"> l’esposizione d</w:t>
      </w:r>
      <w:r>
        <w:t xml:space="preserve">i cartelli </w:t>
      </w:r>
      <w:r w:rsidR="00D96074">
        <w:t>riportanti nome e logo dell’attività</w:t>
      </w:r>
      <w:r>
        <w:t xml:space="preserve"> all’interno dell’area camping, </w:t>
      </w:r>
      <w:r w:rsidR="00D96074">
        <w:t xml:space="preserve">ovvero </w:t>
      </w:r>
      <w:r w:rsidR="0003390F">
        <w:t xml:space="preserve">all’interno </w:t>
      </w:r>
      <w:r w:rsidR="00D96074">
        <w:t xml:space="preserve">di un’area aperta al pubblico, svolgessero anche una funzione reclamistica per i potenziali visitatori degli ospiti del campeggio </w:t>
      </w:r>
      <w:r w:rsidR="0003390F" w:rsidRPr="0003390F">
        <w:t xml:space="preserve">(“visitatori giornalieri”), </w:t>
      </w:r>
      <w:r w:rsidR="00D96074">
        <w:t>che ne avrebbero apprezzato l’immagine per un futuro interesse da fruitori dei servizi offerti.</w:t>
      </w:r>
      <w:r w:rsidR="0003390F">
        <w:t xml:space="preserve"> È stato così riconosciuto dai giudici della Cassazione che l’esposizione dei cartelli</w:t>
      </w:r>
      <w:r w:rsidR="00051068">
        <w:t xml:space="preserve"> nell’area camping</w:t>
      </w:r>
      <w:r w:rsidR="0003390F">
        <w:t xml:space="preserve"> non poteva avere solamente</w:t>
      </w:r>
      <w:r w:rsidR="0003390F" w:rsidRPr="0003390F">
        <w:t xml:space="preserve"> una mera funzione “orientativa”</w:t>
      </w:r>
      <w:r w:rsidR="0003390F">
        <w:t xml:space="preserve">, ma piuttosto </w:t>
      </w:r>
      <w:r w:rsidR="0003390F" w:rsidRPr="0003390F">
        <w:t>miravano ad attirare numerosi potenziali clienti atteso che, secondo il regolamento del campeggio, potevano accedere una molteplicità di soggetti esterni alla struttura apparendo palese la sussistenza dei presupposti impositivi</w:t>
      </w:r>
      <w:r w:rsidR="0003390F">
        <w:t xml:space="preserve"> ai fini ICP (articolo 5 D.Lgs 507/93) e ai fini CUP (comma 819 lett.B Legge 160/2019).</w:t>
      </w:r>
    </w:p>
    <w:sectPr w:rsidR="0003390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53"/>
    <w:rsid w:val="0003390F"/>
    <w:rsid w:val="000423B1"/>
    <w:rsid w:val="00051068"/>
    <w:rsid w:val="00366798"/>
    <w:rsid w:val="003A2DAB"/>
    <w:rsid w:val="004C78A0"/>
    <w:rsid w:val="005A0423"/>
    <w:rsid w:val="006672EA"/>
    <w:rsid w:val="00724747"/>
    <w:rsid w:val="007C2D53"/>
    <w:rsid w:val="00966AFE"/>
    <w:rsid w:val="00BC7AC1"/>
    <w:rsid w:val="00C245A0"/>
    <w:rsid w:val="00C84291"/>
    <w:rsid w:val="00D96074"/>
    <w:rsid w:val="00F372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AEBDD"/>
  <w15:chartTrackingRefBased/>
  <w15:docId w15:val="{551D3F21-A6F7-41B4-A527-52D63C009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2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C2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C2D5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C2D5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C2D5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C2D5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2D5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2D5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2D5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2D5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C2D5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C2D5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C2D5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C2D5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C2D5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2D5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2D5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2D53"/>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2D5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2D5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2D5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2D5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2D53"/>
    <w:rPr>
      <w:i/>
      <w:iCs/>
      <w:color w:val="404040" w:themeColor="text1" w:themeTint="BF"/>
    </w:rPr>
  </w:style>
  <w:style w:type="paragraph" w:styleId="Paragrafoelenco">
    <w:name w:val="List Paragraph"/>
    <w:basedOn w:val="Normale"/>
    <w:uiPriority w:val="34"/>
    <w:qFormat/>
    <w:rsid w:val="007C2D53"/>
    <w:pPr>
      <w:ind w:left="720"/>
      <w:contextualSpacing/>
    </w:pPr>
  </w:style>
  <w:style w:type="character" w:styleId="Enfasiintensa">
    <w:name w:val="Intense Emphasis"/>
    <w:basedOn w:val="Carpredefinitoparagrafo"/>
    <w:uiPriority w:val="21"/>
    <w:qFormat/>
    <w:rsid w:val="007C2D53"/>
    <w:rPr>
      <w:i/>
      <w:iCs/>
      <w:color w:val="2F5496" w:themeColor="accent1" w:themeShade="BF"/>
    </w:rPr>
  </w:style>
  <w:style w:type="paragraph" w:styleId="Citazioneintensa">
    <w:name w:val="Intense Quote"/>
    <w:basedOn w:val="Normale"/>
    <w:next w:val="Normale"/>
    <w:link w:val="CitazioneintensaCarattere"/>
    <w:uiPriority w:val="30"/>
    <w:qFormat/>
    <w:rsid w:val="007C2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C2D53"/>
    <w:rPr>
      <w:i/>
      <w:iCs/>
      <w:color w:val="2F5496" w:themeColor="accent1" w:themeShade="BF"/>
    </w:rPr>
  </w:style>
  <w:style w:type="character" w:styleId="Riferimentointenso">
    <w:name w:val="Intense Reference"/>
    <w:basedOn w:val="Carpredefinitoparagrafo"/>
    <w:uiPriority w:val="32"/>
    <w:qFormat/>
    <w:rsid w:val="007C2D53"/>
    <w:rPr>
      <w:b/>
      <w:bCs/>
      <w:smallCaps/>
      <w:color w:val="2F5496" w:themeColor="accent1" w:themeShade="BF"/>
      <w:spacing w:val="5"/>
    </w:rPr>
  </w:style>
  <w:style w:type="paragraph" w:customStyle="1" w:styleId="Default">
    <w:name w:val="Default"/>
    <w:rsid w:val="00BC7AC1"/>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1083</Words>
  <Characters>6174</Characters>
  <Application>Microsoft Office Word</Application>
  <DocSecurity>0</DocSecurity>
  <Lines>51</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9</cp:revision>
  <dcterms:created xsi:type="dcterms:W3CDTF">2026-03-14T15:07:00Z</dcterms:created>
  <dcterms:modified xsi:type="dcterms:W3CDTF">2026-03-14T16:21:00Z</dcterms:modified>
</cp:coreProperties>
</file>