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45E0" w14:textId="3AD3A7D2" w:rsidR="00060149" w:rsidRDefault="00285772">
      <w:r>
        <w:t>Titolo: P</w:t>
      </w:r>
      <w:r w:rsidRPr="00285772">
        <w:t>erché le società concessionarie per le autostrade impugnano il CUP davanti al TAR</w:t>
      </w:r>
      <w:r>
        <w:t>?</w:t>
      </w:r>
      <w:r w:rsidR="0076245B">
        <w:t xml:space="preserve"> Parte 2</w:t>
      </w:r>
    </w:p>
    <w:p w14:paraId="2D81AAD8" w14:textId="5B4560B9" w:rsidR="00285772" w:rsidRDefault="00285772">
      <w:r>
        <w:t>Di Alessandro Merciari</w:t>
      </w:r>
    </w:p>
    <w:p w14:paraId="7FC2A75B" w14:textId="77777777" w:rsidR="00285772" w:rsidRDefault="00285772"/>
    <w:p w14:paraId="433FDEF1" w14:textId="7A9CA2A3" w:rsidR="0026326F" w:rsidRDefault="0026326F" w:rsidP="001D69BA">
      <w:pPr>
        <w:jc w:val="both"/>
      </w:pPr>
      <w:r>
        <w:t>Avevamo chiuso la prima parte dell’approfondimento dedicato al filone di ricorsi proposti dalle società di gestione dei tratti autostradali innanzi ai Giudici Amministrativi, interrogandoci su</w:t>
      </w:r>
      <w:r w:rsidR="00D75582">
        <w:t xml:space="preserve"> quale </w:t>
      </w:r>
      <w:r>
        <w:t xml:space="preserve">posizione avrebbe tenuto </w:t>
      </w:r>
      <w:r w:rsidR="00D75582">
        <w:t>la Corte di Cassazione</w:t>
      </w:r>
      <w:r w:rsidR="00D75582">
        <w:t xml:space="preserve"> </w:t>
      </w:r>
      <w:r>
        <w:t xml:space="preserve">rispetto </w:t>
      </w:r>
      <w:r w:rsidR="00F04E4D">
        <w:t>alle recenti del Consiglio di Stato che non avrebbero tenuto conto del</w:t>
      </w:r>
      <w:r>
        <w:t>l’orientamento già formato in materia di TOSAP, COSAP e CUP incardinati negli organi di giustizia tributaria e ordinaria.</w:t>
      </w:r>
    </w:p>
    <w:p w14:paraId="7317D916" w14:textId="23B096D8" w:rsidR="00F04E4D" w:rsidRDefault="0026326F" w:rsidP="00F67C6C">
      <w:pPr>
        <w:jc w:val="both"/>
      </w:pPr>
      <w:r>
        <w:t xml:space="preserve">Ebbene, la Corte di Cassazione si è espressa </w:t>
      </w:r>
      <w:r w:rsidR="00D75582">
        <w:t xml:space="preserve">anche recentemente </w:t>
      </w:r>
      <w:r w:rsidR="00F04E4D">
        <w:t xml:space="preserve">sconfessando le motivazioni </w:t>
      </w:r>
      <w:r w:rsidR="00BC6EDB">
        <w:t xml:space="preserve">assunte </w:t>
      </w:r>
      <w:r w:rsidR="00F04E4D">
        <w:t>nelle sentenze</w:t>
      </w:r>
      <w:r w:rsidR="00D75582">
        <w:t xml:space="preserve"> </w:t>
      </w:r>
      <w:r w:rsidR="00F04E4D">
        <w:t xml:space="preserve">emesse </w:t>
      </w:r>
      <w:r w:rsidR="00D75582">
        <w:t>d</w:t>
      </w:r>
      <w:r w:rsidR="00F04E4D">
        <w:t>a</w:t>
      </w:r>
      <w:r w:rsidR="00D75582">
        <w:t>l Consiglio di Stato</w:t>
      </w:r>
      <w:r w:rsidR="00706451">
        <w:t xml:space="preserve"> che </w:t>
      </w:r>
      <w:r w:rsidR="00706451" w:rsidRPr="00706451">
        <w:t xml:space="preserve">non si </w:t>
      </w:r>
      <w:r w:rsidR="00706451">
        <w:t xml:space="preserve">è mai </w:t>
      </w:r>
      <w:r w:rsidR="00706451" w:rsidRPr="00706451">
        <w:t>confronta</w:t>
      </w:r>
      <w:r w:rsidR="00706451">
        <w:t>to</w:t>
      </w:r>
      <w:r w:rsidR="00706451" w:rsidRPr="00706451">
        <w:t xml:space="preserve"> con l'ormai consolidato indirizzo d</w:t>
      </w:r>
      <w:r w:rsidR="00706451">
        <w:t xml:space="preserve">ella stessa </w:t>
      </w:r>
      <w:r w:rsidR="00706451" w:rsidRPr="00706451">
        <w:t>C</w:t>
      </w:r>
      <w:r w:rsidR="00706451">
        <w:t>assazione</w:t>
      </w:r>
      <w:r>
        <w:t>.</w:t>
      </w:r>
      <w:r w:rsidR="00F04E4D">
        <w:t xml:space="preserve"> </w:t>
      </w:r>
    </w:p>
    <w:p w14:paraId="2E5AF248" w14:textId="53B6E721" w:rsidR="00F04E4D" w:rsidRDefault="00F04E4D" w:rsidP="00F67C6C">
      <w:pPr>
        <w:jc w:val="both"/>
      </w:pPr>
      <w:r>
        <w:t>In particolare le</w:t>
      </w:r>
      <w:r w:rsidRPr="00F04E4D">
        <w:t xml:space="preserve"> varie pronunce amministrative che si </w:t>
      </w:r>
      <w:r w:rsidR="00BC6EDB">
        <w:t>erano</w:t>
      </w:r>
      <w:r w:rsidRPr="00F04E4D">
        <w:t xml:space="preserve"> occupate dell’argomento (Cons. Stato, sentenze numeri 10010- 10011-10012-10013-10014-10015-10016-10017-10018 delle 22/11/2023 e n. 10130/2023 delle 27/11/23), </w:t>
      </w:r>
      <w:r>
        <w:t>avevano</w:t>
      </w:r>
      <w:r w:rsidRPr="00F04E4D">
        <w:t xml:space="preserve"> esclus</w:t>
      </w:r>
      <w:r>
        <w:t>o</w:t>
      </w:r>
      <w:r w:rsidRPr="00F04E4D">
        <w:t xml:space="preserve"> dall’ambito applicativo del COSAP le occupazioni che non necessitano di concessione provinciale</w:t>
      </w:r>
      <w:r>
        <w:t xml:space="preserve"> o comunale</w:t>
      </w:r>
      <w:r w:rsidRPr="00F04E4D">
        <w:t xml:space="preserve">, ovvero quelle che non si riferiscono a beni appartenenti al demanio o al patrimonio indisponibile dell’ente locale, ovvero le ipotesi in cui il medesimo ente sia sprovvisto del potere di accordare (o negare) l’occupazione, in quanto involgenti interessi di più ampio rilievo. </w:t>
      </w:r>
    </w:p>
    <w:p w14:paraId="31F428CA" w14:textId="77777777" w:rsidR="00BC6EDB" w:rsidRDefault="00F04E4D" w:rsidP="00F67C6C">
      <w:pPr>
        <w:jc w:val="both"/>
        <w:rPr>
          <w:i/>
          <w:iCs/>
        </w:rPr>
      </w:pPr>
      <w:r w:rsidRPr="00F04E4D">
        <w:t>Sarebbe impossibile</w:t>
      </w:r>
      <w:r>
        <w:t>, secondo il Consiglio di Stato</w:t>
      </w:r>
      <w:r w:rsidR="00C52A69">
        <w:t>,</w:t>
      </w:r>
      <w:r w:rsidRPr="00F04E4D">
        <w:t xml:space="preserve"> configurare i presupposti applicativi del COSAP, in quanto questo non potrebbe certo gravare «</w:t>
      </w:r>
      <w:r w:rsidRPr="00F04E4D">
        <w:rPr>
          <w:i/>
          <w:iCs/>
        </w:rPr>
        <w:t>un bene del demanio statale, per di più realizzato per evidenti finalità di interesse generale</w:t>
      </w:r>
      <w:r w:rsidRPr="00F04E4D">
        <w:t>». L’esistenza e l’utilizzo di un ponte autostradale, in quanto parte inseparabile di un bene demaniale funzionalmente unitario, non richiederebbe «</w:t>
      </w:r>
      <w:r w:rsidRPr="00C52A69">
        <w:rPr>
          <w:i/>
          <w:iCs/>
        </w:rPr>
        <w:t>alcuna autorizzazione da parte degli enti territoriali cui appartengono gli eventuali beni al di sopra dei quali</w:t>
      </w:r>
      <w:r w:rsidR="00BC6EDB">
        <w:rPr>
          <w:i/>
          <w:iCs/>
        </w:rPr>
        <w:t xml:space="preserve"> </w:t>
      </w:r>
      <w:r w:rsidR="00BC6EDB" w:rsidRPr="00BC6EDB">
        <w:rPr>
          <w:i/>
          <w:iCs/>
        </w:rPr>
        <w:t xml:space="preserve">la detta struttura sia stata a suo tempo realizzata in base ad un’espressa disposizione di legge». </w:t>
      </w:r>
      <w:r w:rsidR="00BC6EDB" w:rsidRPr="00BC6EDB">
        <w:t>Per tale ragione</w:t>
      </w:r>
      <w:r w:rsidR="00BC6EDB" w:rsidRPr="00BC6EDB">
        <w:rPr>
          <w:i/>
          <w:iCs/>
        </w:rPr>
        <w:t xml:space="preserve"> «nessun canone (o altro corrispettivo) di occupazione sarà reciprocamente dovuto dalle parti in causa». </w:t>
      </w:r>
    </w:p>
    <w:p w14:paraId="0E4695DB" w14:textId="3CBE1470" w:rsidR="00F04E4D" w:rsidRPr="00BC6EDB" w:rsidRDefault="00BC6EDB" w:rsidP="00F67C6C">
      <w:pPr>
        <w:jc w:val="both"/>
      </w:pPr>
      <w:r w:rsidRPr="00BC6EDB">
        <w:t xml:space="preserve">Pertanto, </w:t>
      </w:r>
      <w:r>
        <w:t xml:space="preserve">secondo il Consiglio di Stato, </w:t>
      </w:r>
      <w:r w:rsidRPr="00BC6EDB">
        <w:t xml:space="preserve">per la realizzazione e la gestione di opera autostradali, le società concessionarie non devono chiedere alcuna concessione agli enti locali per l’attraversamento sovrastante/sottostante di strade, comunali o provinciali. </w:t>
      </w:r>
      <w:r>
        <w:t>Con questa visione, n</w:t>
      </w:r>
      <w:r w:rsidRPr="00BC6EDB">
        <w:t>on potendo la Provincia e il Comune accordare o negare concessioni per le infrastrutture autostradali, la concessionaria</w:t>
      </w:r>
      <w:r>
        <w:t xml:space="preserve"> autostradale </w:t>
      </w:r>
      <w:r w:rsidRPr="00BC6EDB">
        <w:t>non</w:t>
      </w:r>
      <w:r w:rsidRPr="00BC6EDB">
        <w:t xml:space="preserve"> </w:t>
      </w:r>
      <w:r>
        <w:t>potrebbe</w:t>
      </w:r>
      <w:r w:rsidRPr="00BC6EDB">
        <w:t xml:space="preserve"> essere inclusa </w:t>
      </w:r>
      <w:r>
        <w:t>tra i</w:t>
      </w:r>
      <w:r w:rsidRPr="00BC6EDB">
        <w:t xml:space="preserve"> soggetti passivi per l’applicazione del canone.</w:t>
      </w:r>
    </w:p>
    <w:p w14:paraId="28735ABE" w14:textId="69F02045" w:rsidR="0026326F" w:rsidRDefault="00706451" w:rsidP="00F67C6C">
      <w:pPr>
        <w:jc w:val="both"/>
      </w:pPr>
      <w:r>
        <w:t>Come detto invece, la Corte di</w:t>
      </w:r>
      <w:r w:rsidR="00F04E4D">
        <w:t xml:space="preserve"> Cassazione</w:t>
      </w:r>
      <w:r w:rsidR="00BC6EDB">
        <w:t>, confermando il proprio orientamento, ha sconfessato la linea del Consiglio di Stato</w:t>
      </w:r>
      <w:r>
        <w:t>. A</w:t>
      </w:r>
      <w:r w:rsidR="0026326F">
        <w:t>nalizziamo</w:t>
      </w:r>
      <w:r>
        <w:t xml:space="preserve"> con questo approfondimento</w:t>
      </w:r>
      <w:r w:rsidR="0026326F">
        <w:t xml:space="preserve"> alcune </w:t>
      </w:r>
      <w:r>
        <w:t xml:space="preserve">sentenze </w:t>
      </w:r>
      <w:r w:rsidR="0026326F">
        <w:t xml:space="preserve">che </w:t>
      </w:r>
      <w:r w:rsidR="00D75582">
        <w:t>affrontano</w:t>
      </w:r>
      <w:r w:rsidR="0026326F">
        <w:t xml:space="preserve"> in modo </w:t>
      </w:r>
      <w:r w:rsidR="00F04E4D">
        <w:t xml:space="preserve">diretto e </w:t>
      </w:r>
      <w:r w:rsidR="0026326F">
        <w:t xml:space="preserve">specifico le </w:t>
      </w:r>
      <w:r w:rsidR="00F04E4D">
        <w:t>decisioni contrarie</w:t>
      </w:r>
      <w:r w:rsidR="0026326F">
        <w:t xml:space="preserve"> adottate dal Consiglio di Stato.</w:t>
      </w:r>
    </w:p>
    <w:p w14:paraId="39719841" w14:textId="2C16E978" w:rsidR="00264AEE" w:rsidRDefault="00264AEE" w:rsidP="00264AEE">
      <w:pPr>
        <w:jc w:val="both"/>
      </w:pPr>
      <w:r>
        <w:t xml:space="preserve">Di fondamentale interesse la </w:t>
      </w:r>
      <w:r w:rsidRPr="009B2FB5">
        <w:rPr>
          <w:b/>
          <w:bCs/>
        </w:rPr>
        <w:t>Sentenza n. 20708 anno 2024 pubblicata il 25/07/2024</w:t>
      </w:r>
      <w:r>
        <w:t xml:space="preserve"> che sarà poi </w:t>
      </w:r>
      <w:r w:rsidR="00F04E4D">
        <w:t xml:space="preserve">oggetto di richiamo nelle </w:t>
      </w:r>
      <w:r>
        <w:t xml:space="preserve">successive sentenze emesse </w:t>
      </w:r>
      <w:r w:rsidR="00F04E4D">
        <w:t xml:space="preserve">anche </w:t>
      </w:r>
      <w:r>
        <w:t>nel corso del</w:t>
      </w:r>
      <w:r w:rsidR="00F04E4D">
        <w:t xml:space="preserve"> corrente</w:t>
      </w:r>
      <w:r>
        <w:t xml:space="preserve"> 2025.</w:t>
      </w:r>
    </w:p>
    <w:p w14:paraId="66A354FF" w14:textId="2A80E80D" w:rsidR="00F04E4D" w:rsidRDefault="00F04E4D" w:rsidP="00264AEE">
      <w:pPr>
        <w:jc w:val="both"/>
      </w:pPr>
      <w:r>
        <w:t>Nella sentenza si legge:</w:t>
      </w:r>
    </w:p>
    <w:p w14:paraId="55EABFA4" w14:textId="77777777" w:rsidR="00264AEE" w:rsidRPr="00DF0863" w:rsidRDefault="00264AEE" w:rsidP="00264AEE">
      <w:pPr>
        <w:jc w:val="both"/>
        <w:rPr>
          <w:i/>
          <w:iCs/>
        </w:rPr>
      </w:pPr>
      <w:r>
        <w:rPr>
          <w:i/>
          <w:iCs/>
        </w:rPr>
        <w:t>“</w:t>
      </w:r>
      <w:r w:rsidRPr="00DF0863">
        <w:rPr>
          <w:i/>
          <w:iCs/>
        </w:rPr>
        <w:t xml:space="preserve">E’ dirimente, pertanto, rimarcare, nelle ipotesi, come quella che si sta scrutinando, in cui l'occupazione non sia assistita da un atto concessorio della Provincia, l'attività di gestione economica e funzionale del bene, effettuata dalla società concessionaria e le finalità lucrative proprie dell'attività d'impresa svolte dalla medesima, ciò determinando l'effetto di escludere l'estensione dell'esenzione – della quale fruisca il soggetto autorizzato - alle occupazioni connesse e conseguenti a tali attività e finalità. Questo principio risulta evidentemente applicabile anche al COSAP - ove il regolamento abbia previsto l'esenzione a favore dell'ente concedente. </w:t>
      </w:r>
    </w:p>
    <w:p w14:paraId="29C6E21A" w14:textId="77777777" w:rsidR="00264AEE" w:rsidRPr="00DF0863" w:rsidRDefault="00264AEE" w:rsidP="00264AEE">
      <w:pPr>
        <w:jc w:val="both"/>
        <w:rPr>
          <w:i/>
          <w:iCs/>
        </w:rPr>
      </w:pPr>
      <w:r w:rsidRPr="00DF0863">
        <w:rPr>
          <w:i/>
          <w:iCs/>
        </w:rPr>
        <w:lastRenderedPageBreak/>
        <w:t>4.3. Nel caso in esame, la Provincia di Teramo si è avvalsa della facoltà attribuitale dal citato art. 63 ed ha istituito il COSAP con Regolamento, prevedendo all'art.29 - in linea con la normativa richiamata - che il canone è dovuto dall'intestatario dell'autorizzazione o, in mancanza di regolare autorizzazione/concessioni o nulla osta, è dovuto dal titolare dell'occupazione - sia esso proprietario o affittuario o usufruttuario o occupante di fatto anche abusivo; ha altresì introdotto, all'art.30 l'esenzione per le occupazioni effettuate dallo Stato, in applicazione di quanto già previsto dall'art.49, comma 1, del d.lgs. n.507/1993.</w:t>
      </w:r>
      <w:r>
        <w:rPr>
          <w:i/>
          <w:iCs/>
        </w:rPr>
        <w:t>”</w:t>
      </w:r>
    </w:p>
    <w:p w14:paraId="4DDCCC06" w14:textId="77777777" w:rsidR="00264AEE" w:rsidRDefault="00264AEE" w:rsidP="00264AEE">
      <w:pPr>
        <w:jc w:val="both"/>
        <w:rPr>
          <w:i/>
          <w:iCs/>
        </w:rPr>
      </w:pPr>
      <w:r>
        <w:t xml:space="preserve">Prosegue: </w:t>
      </w:r>
      <w:r w:rsidRPr="00DF0863">
        <w:rPr>
          <w:i/>
          <w:iCs/>
        </w:rPr>
        <w:t xml:space="preserve">“Infine, inconferente, nel delineato contesto, è anche il riferimento all’appartenenza dell'autostrada al demanio statale ex art.822 cod. cod. ed è altresì marginale e priva di decisività l’indagine sulla effettiva proprietà dell'infrastruttura autostradale e del pontone che occupa, per proiezione, la strada provinciale sottostante (così anche da ultimo Cass. 10351/2023; Cass. 2486/2024). Infatti la proprietà statale dell'autostrada e così del viadotto non interferisce con la circostanza - integrativa del presupposto di applicazione del </w:t>
      </w:r>
      <w:proofErr w:type="spellStart"/>
      <w:r w:rsidRPr="00DF0863">
        <w:rPr>
          <w:i/>
          <w:iCs/>
        </w:rPr>
        <w:t>cosap</w:t>
      </w:r>
      <w:proofErr w:type="spellEnd"/>
      <w:r w:rsidRPr="00DF0863">
        <w:rPr>
          <w:i/>
          <w:iCs/>
        </w:rPr>
        <w:t xml:space="preserve"> da parte della provincia di Teramo - secondo cui, nel periodo di durata della concessione, la società disponeva del viadotto, per la relativa gestione quale concessionaria, ed in tal modo essa realizzava la condotta di "occupazione" del sottostante suolo provinciale, anche se, si ribadisce, solo per proiezione.</w:t>
      </w:r>
      <w:r>
        <w:rPr>
          <w:i/>
          <w:iCs/>
        </w:rPr>
        <w:t xml:space="preserve"> </w:t>
      </w:r>
      <w:r w:rsidRPr="00DF0863">
        <w:rPr>
          <w:i/>
          <w:iCs/>
        </w:rPr>
        <w:t>4.5. Partendo proprio da quest’ultima considerazione, che il Collegio intende qui ribadire, non può condividersi la diversa ricostruzione, a cui ha prestato adesione la Procura Generale, fornita dal giudice amministrativo con le sentenze allegate dalla ricorrente, emesse in giudizi instaurati da Autostrade s.p.a. avverso verbali di accertamento relativi a sanzioni amministrative pecuniarie per “occupazione abusiva”.</w:t>
      </w:r>
    </w:p>
    <w:p w14:paraId="2A8BCE15" w14:textId="77777777" w:rsidR="00264AEE" w:rsidRPr="00264AEE" w:rsidRDefault="00264AEE" w:rsidP="00264AEE">
      <w:pPr>
        <w:jc w:val="both"/>
        <w:rPr>
          <w:i/>
          <w:iCs/>
        </w:rPr>
      </w:pPr>
      <w:r w:rsidRPr="00264AEE">
        <w:t>Conclude la Corte di Cassazione esprimendosi in questi termini: “</w:t>
      </w:r>
      <w:r w:rsidRPr="00264AEE">
        <w:rPr>
          <w:i/>
          <w:iCs/>
        </w:rPr>
        <w:t xml:space="preserve">Le citate pronunce del Consiglio di Stato, che, peraltro, non si confrontano con l’ormai consolidato indirizzo di questa Corte di cui si è dato conto, offrono una lettura ermeneutica del “combinato disposto” delle norme in discussione non rispondente al dettato complessivo della stessa disciplina nei termini precisati e non rispettosa dei suesposti principi, oltre che contrastante con il tenore letterale delle previsioni del regolamento </w:t>
      </w:r>
      <w:proofErr w:type="spellStart"/>
      <w:r w:rsidRPr="00264AEE">
        <w:rPr>
          <w:i/>
          <w:iCs/>
        </w:rPr>
        <w:t>cosap</w:t>
      </w:r>
      <w:proofErr w:type="spellEnd"/>
      <w:r w:rsidRPr="00264AEE">
        <w:rPr>
          <w:i/>
          <w:iCs/>
        </w:rPr>
        <w:t xml:space="preserve"> ora in esame. In particolare, come si è rimarcato, l’elemento scriminante, che consente di escludere l’assoggettamento al </w:t>
      </w:r>
      <w:proofErr w:type="spellStart"/>
      <w:r w:rsidRPr="00264AEE">
        <w:rPr>
          <w:i/>
          <w:iCs/>
        </w:rPr>
        <w:t>cosap</w:t>
      </w:r>
      <w:proofErr w:type="spellEnd"/>
      <w:r w:rsidRPr="00264AEE">
        <w:rPr>
          <w:i/>
          <w:iCs/>
        </w:rPr>
        <w:t>, è l’occupazione dello spazio dell’ente locale posta in essere direttamente dal soggetto esente, il che incontrovertibilmente non è nella specie.”</w:t>
      </w:r>
    </w:p>
    <w:p w14:paraId="01E8C0CA" w14:textId="77777777" w:rsidR="00706451" w:rsidRDefault="00666D7F" w:rsidP="00F67C6C">
      <w:pPr>
        <w:jc w:val="both"/>
      </w:pPr>
      <w:r>
        <w:t xml:space="preserve">Successivamente la stessa Corte di Cassazione ha confermato il proprio orientamento, con diverse sentenze. In questa analisi nel analizziamo alcune </w:t>
      </w:r>
      <w:r w:rsidR="00706451">
        <w:t>dove si evidenza la diversa linea seguita dai Giudici Amministrativi.</w:t>
      </w:r>
    </w:p>
    <w:p w14:paraId="5F1ACEE8" w14:textId="7D1040C5" w:rsidR="0026326F" w:rsidRDefault="00D75582" w:rsidP="00F67C6C">
      <w:pPr>
        <w:jc w:val="both"/>
      </w:pPr>
      <w:r>
        <w:t>In particolare, n</w:t>
      </w:r>
      <w:r w:rsidR="0026326F">
        <w:t xml:space="preserve">ella </w:t>
      </w:r>
      <w:r w:rsidR="009B2FB5">
        <w:rPr>
          <w:b/>
          <w:bCs/>
        </w:rPr>
        <w:t>S</w:t>
      </w:r>
      <w:r w:rsidR="0026326F" w:rsidRPr="009B2FB5">
        <w:rPr>
          <w:b/>
          <w:bCs/>
        </w:rPr>
        <w:t xml:space="preserve">entenza n. 6905 </w:t>
      </w:r>
      <w:r w:rsidR="009B2FB5">
        <w:rPr>
          <w:b/>
          <w:bCs/>
        </w:rPr>
        <w:t xml:space="preserve">anno 2025 pubblicata il </w:t>
      </w:r>
      <w:r w:rsidR="0026326F" w:rsidRPr="009B2FB5">
        <w:rPr>
          <w:b/>
          <w:bCs/>
        </w:rPr>
        <w:t>15/03/2025</w:t>
      </w:r>
      <w:r w:rsidR="0026326F">
        <w:t xml:space="preserve"> i giudici della Suprema Corte di Cassazione scrivono:</w:t>
      </w:r>
    </w:p>
    <w:p w14:paraId="3037CCB7" w14:textId="2971BA81" w:rsidR="0026326F" w:rsidRPr="0026326F" w:rsidRDefault="0026326F" w:rsidP="00F67C6C">
      <w:pPr>
        <w:jc w:val="both"/>
        <w:rPr>
          <w:i/>
          <w:iCs/>
        </w:rPr>
      </w:pPr>
      <w:r w:rsidRPr="0026326F">
        <w:rPr>
          <w:i/>
          <w:iCs/>
        </w:rPr>
        <w:t xml:space="preserve">“14.1. Inoltre, si è già chiarito (Cass., sez. 1, 25/7/2024, n. 20708) che le citate pronunce del Consiglio di Stato, che, peraltro, non si confrontano con l'ormai consolidato indirizzo di questa Corte di cui si è dato conto, offrono una lettura ermeneutica del "combinato disposto" delle norme in discussione non rispondente al dettato complessivo della stessa disciplina nei termini precisati e non rispettosa dei suesposti principi, oltre che contrastante con il tenore letterale delle previsioni del regolamento COSAP ora in esame. In particolare, come si è rimarcato, l'elemento scriminante, che consente di escludere l'assoggettamento al COSAP, è l'occupazione dello spazio dell'ente locale posta in essere direttamente dal soggetto esente, il che incontrovertibilmente non è nella specie. Il Consiglio di Stato afferma: «…l'art. 1 del Regolamento COSAP della Provincia di Teramo regolamentava, in ordine ai periodi su cui si controverte, le fattispecie di "occupazione onerosa, permanente o temporanea, di strade, aree e relativi spazi sovrastanti o sottostanti, appartenenti al demanio o al patrimonio indisponibile della Provincia di Teramo ovvero di proprietà privata soggette a servitù di pubblico passaggio costituita nei modi di legge», per le quali era prescritto il rilascio di apposita concessione. Il successivo art. 2 ("Soggetti attivi e passivi") chiariva quindi che «[il] canone è dovuto all'Ente proprietario del suolo dal titolare dell'atto di concessione o di autorizzazione o, in mancanza, dall'occupante di fatto, anche abusivo, in proporzione alla superficie effettivamente sottratta all'uso pubblico nell'ambito del rispettivo territorio». Dal combinato disposto delle norme che precedono «discende - a contrario - che sono escluse </w:t>
      </w:r>
      <w:r w:rsidRPr="0026326F">
        <w:rPr>
          <w:i/>
          <w:iCs/>
        </w:rPr>
        <w:lastRenderedPageBreak/>
        <w:t>dall'ambito applicativo del COSAP le occupazioni che non necessitano di concessione provinciale, ossia quelle che non si riferiscono a beni</w:t>
      </w:r>
      <w:r>
        <w:rPr>
          <w:i/>
          <w:iCs/>
        </w:rPr>
        <w:t xml:space="preserve"> </w:t>
      </w:r>
      <w:r w:rsidRPr="0026326F">
        <w:rPr>
          <w:i/>
          <w:iCs/>
        </w:rPr>
        <w:t xml:space="preserve">appartenenti al demanio o al patrimonio indisponibile dell'ente locale, ovvero le ipotesi in cui il medesimo ente sia sprovvisto del potere di accordare (o negare) l'occupazione, in quanto involgenti interessi di più ampio rilievo». A detto ragionamento, invero espresso per sillogismo a contrario non del tutto lineare, osta proprio il disposto dell'art.30 del regolamento provinciale COSAP applicabile ratione temporis, a mente del quale sono esentate dal pagamento del canone «le occupazioni effettuate dallo Stato, dalle regioni, provincie, comuni e loro consorzi, da enti religiosi per l'esercizio di culti ammessi nello stato, da enti pubblici e privati, diversi dalle società, che non hanno per oggetto esclusivo o principale l'esercizio di attività commerciale, per finalità specifiche di assistenza, previdenza, sanità educazione, cultura e ricerca scientifica». La norma prevede l'esenzione per le occupazioni effettuate dallo Stato, in applicazione di quanto già previsto dall'art. 49, comma 1, del d.lgs. n. 507 del 1993, individua specificamente i soggetti esenti ed è da ritenersi di stretta interpretazione, poiché introduce una eccezione alla regola generale. A ciò si aggiunga che l'assoggettamento al canone, con facoltà di eventuale previsione di speciali «agevolazioni», è prevista anche nelle ipotesi di «occupazioni ritenute di particolare interesse pubblico e in particolare per quelle aventi finalità politiche ed istituzionali», ai sensi dell'art. 63, comma 2, lett. e), </w:t>
      </w:r>
      <w:proofErr w:type="spellStart"/>
      <w:r w:rsidRPr="0026326F">
        <w:rPr>
          <w:i/>
          <w:iCs/>
        </w:rPr>
        <w:t>D.Lgs.</w:t>
      </w:r>
      <w:proofErr w:type="spellEnd"/>
      <w:r w:rsidRPr="0026326F">
        <w:rPr>
          <w:i/>
          <w:iCs/>
        </w:rPr>
        <w:t xml:space="preserve"> n. 446/1997 vigente ratione temporis, il che elude la rilevanza attribuibile al fatto che si tratta di beni appartenenti al demanio "involgenti interessi di più ampio rilievo", contrariamente a quanto pare valorizzare la giurisprudenza amministrativa, come rimarcato anche dalla controricorrente.</w:t>
      </w:r>
      <w:r w:rsidR="00D75582">
        <w:rPr>
          <w:i/>
          <w:iCs/>
        </w:rPr>
        <w:t>”</w:t>
      </w:r>
    </w:p>
    <w:p w14:paraId="0C7EEAD5" w14:textId="3A90A5FC" w:rsidR="00165223" w:rsidRDefault="00D75582" w:rsidP="00F67C6C">
      <w:pPr>
        <w:jc w:val="both"/>
      </w:pPr>
      <w:r>
        <w:t>Sulla stessa linea quanto riportato n</w:t>
      </w:r>
      <w:r w:rsidR="0071531F">
        <w:t xml:space="preserve">ella </w:t>
      </w:r>
      <w:r w:rsidR="009B2FB5" w:rsidRPr="009B2FB5">
        <w:rPr>
          <w:b/>
          <w:bCs/>
        </w:rPr>
        <w:t>S</w:t>
      </w:r>
      <w:r w:rsidR="0071531F" w:rsidRPr="009B2FB5">
        <w:rPr>
          <w:b/>
          <w:bCs/>
        </w:rPr>
        <w:t>entenza n. 798 del 2025</w:t>
      </w:r>
      <w:r w:rsidRPr="009B2FB5">
        <w:rPr>
          <w:b/>
          <w:bCs/>
        </w:rPr>
        <w:t xml:space="preserve"> pubblicata il 12/01/2025</w:t>
      </w:r>
      <w:r>
        <w:t xml:space="preserve"> dove </w:t>
      </w:r>
      <w:r>
        <w:t>i giudici della Suprema Corte di Cassazione scrivono:</w:t>
      </w:r>
    </w:p>
    <w:p w14:paraId="4BF91AF7" w14:textId="4C01F5BF" w:rsidR="0071531F" w:rsidRPr="0071531F" w:rsidRDefault="0071531F" w:rsidP="0071531F">
      <w:pPr>
        <w:jc w:val="both"/>
        <w:rPr>
          <w:i/>
          <w:iCs/>
        </w:rPr>
      </w:pPr>
      <w:r>
        <w:rPr>
          <w:i/>
          <w:iCs/>
        </w:rPr>
        <w:t>“</w:t>
      </w:r>
      <w:r w:rsidRPr="0071531F">
        <w:rPr>
          <w:i/>
          <w:iCs/>
        </w:rPr>
        <w:t xml:space="preserve">2.7 In questo quadro, perdono evidentemente rilievo, ai fini impositivi, quei profili di asserita divergenza rispetto a quella giurisprudenza amministrativa (Cons. St., Sez. 5^, 22 novembre 2023, </w:t>
      </w:r>
      <w:proofErr w:type="spellStart"/>
      <w:r w:rsidRPr="0071531F">
        <w:rPr>
          <w:i/>
          <w:iCs/>
        </w:rPr>
        <w:t>nn</w:t>
      </w:r>
      <w:proofErr w:type="spellEnd"/>
      <w:r w:rsidRPr="0071531F">
        <w:rPr>
          <w:i/>
          <w:iCs/>
        </w:rPr>
        <w:t xml:space="preserve">. 10010, 10011, 10012, 10013, 10014, 10015, 10016, 10017 e 10018; Cons. St., Sez. 5^, 27 novembre 2024, n. 10130), la quale, incidendo (nell’ambito del COSAP) sul diverso terreno dei presupposti autoritativi di legittimo esercizio del potere concessorio, ha cura di evidenziare la inconcepibilità del rilascio di una concessione comunale di occupazione in relazione ad un bene “occupante” appartenente al demanio dello Stato (permanendo tale demanialità statale anche nell’ipotesi di gestione lucrativa dell’infrastruttura), atteso che – sempre nell’ottica della disciplina tributaria di cui al d.lgs. 15 novembre 1993, n. 507, come sempre interpretata, da ultimo, anche dalle Sezioni Unite – il presupposto impositivo richiama sì la relazione concessoria, senza, però, al contempo farne elemento imprescindibile, cioè senza escludere che, in assenza di questa (e dunque dei relativi presupposti amministrativi), il tributo debba essere, comunque, corrisposto da chi, anche in linea di fatto (ed anche se in maniera non abusiva), occupi il suolo comunale o provinciale, fatte naturalmente salve le previste esenzioni; con conseguente irrilevanza del fatto che, in forza di un diverso titolo concessorio, l’occupazione si attui attraverso la (o al fine della) gestione economica di un bene pacificamente appartenente al demanio statale. </w:t>
      </w:r>
    </w:p>
    <w:p w14:paraId="2E8C4A7A" w14:textId="77777777" w:rsidR="0071531F" w:rsidRPr="0071531F" w:rsidRDefault="0071531F" w:rsidP="0071531F">
      <w:pPr>
        <w:jc w:val="both"/>
        <w:rPr>
          <w:i/>
          <w:iCs/>
        </w:rPr>
      </w:pPr>
      <w:r w:rsidRPr="0071531F">
        <w:rPr>
          <w:i/>
          <w:iCs/>
        </w:rPr>
        <w:t xml:space="preserve">Diversamente da quanto osservato dalla menzionata giurisprudenza amministrativa, non sembra, dunque, rilevare ai fini impositivi la supremazia dello Stato sul Comune o sulla Provincia, dal momento che questa può, per l’appunto, interferire, neutralizzandola, sulla necessità di un provvedimento concessorio, ma non sul materializzarsi del presupposto del tributo costituito dal fatto in sé dell’occupazione; a meno che, ben inteso, non si verta di occupazione posta “direttamente” in essere dallo Stato nell’esercizio di quella supremazia. </w:t>
      </w:r>
    </w:p>
    <w:p w14:paraId="5D08E06C" w14:textId="77777777" w:rsidR="0071531F" w:rsidRPr="0071531F" w:rsidRDefault="0071531F" w:rsidP="0071531F">
      <w:pPr>
        <w:jc w:val="both"/>
        <w:rPr>
          <w:i/>
          <w:iCs/>
        </w:rPr>
      </w:pPr>
      <w:r w:rsidRPr="0071531F">
        <w:rPr>
          <w:i/>
          <w:iCs/>
        </w:rPr>
        <w:t xml:space="preserve">Parimenti ininfluenti ai fini di causa devono ritenersi quelle fonti legislative ed amministrative (ad esempio, la legge 21 maggio 1955, n. 463, e la legge 24 luglio 1961, n. 729, riguardanti la realizzazione della rete autostradale, o anche la nota resa dal Ministero delle Infrastrutture e dei Trasporti il 21 giugno 2023, n. 15776, recante disposizioni secondarie sulle procedure di autorizzazione e realizzazione di infrastrutture pubbliche in conferenza dei servizi) che regolano le procedure di costruzione della rete autostradale, così come l’attribuzione allo Stato della relativa proprietà, risultando esse – ancora una volta – indifferenti a quel presupposto; almeno fino a quando non venga dal legislatore affermato ciò che al momento non è (Cass., Sez. </w:t>
      </w:r>
      <w:proofErr w:type="spellStart"/>
      <w:r w:rsidRPr="0071531F">
        <w:rPr>
          <w:i/>
          <w:iCs/>
        </w:rPr>
        <w:lastRenderedPageBreak/>
        <w:t>Trib</w:t>
      </w:r>
      <w:proofErr w:type="spellEnd"/>
      <w:r w:rsidRPr="0071531F">
        <w:rPr>
          <w:i/>
          <w:iCs/>
        </w:rPr>
        <w:t xml:space="preserve">., 22 gennaio 2024, n. 2164), cioè l’attrazione (per accessione invertita) allo Stato, per il solo fatto della costruzione del sovrappasso, della proprietà delle sottostanti strade comunali o provinciali occupate. </w:t>
      </w:r>
    </w:p>
    <w:p w14:paraId="38967EA7" w14:textId="77777777" w:rsidR="0071531F" w:rsidRPr="0071531F" w:rsidRDefault="0071531F" w:rsidP="0071531F">
      <w:pPr>
        <w:jc w:val="both"/>
        <w:rPr>
          <w:i/>
          <w:iCs/>
        </w:rPr>
      </w:pPr>
      <w:r w:rsidRPr="0071531F">
        <w:rPr>
          <w:i/>
          <w:iCs/>
        </w:rPr>
        <w:t xml:space="preserve">Né è significativo l’inserimento dell’opera autostradale nello strumento urbanistico generale del Comune, che, secondo il giudice di appello, «riconosce e attua la sottrazione alla disponibilità collettiva della superficie ritenuta soggetta a TOSAP dal Concessionario», confermando che «è stata attribuita una diversa disponibilità collettiva della superficie in quanto il sistema viario comunale è pacificamente integrato con quello della Tangenziale in questione». </w:t>
      </w:r>
    </w:p>
    <w:p w14:paraId="46BA3D3D" w14:textId="629A27E8" w:rsidR="0071531F" w:rsidRDefault="0071531F" w:rsidP="0071531F">
      <w:pPr>
        <w:jc w:val="both"/>
        <w:rPr>
          <w:i/>
          <w:iCs/>
        </w:rPr>
      </w:pPr>
      <w:r w:rsidRPr="0071531F">
        <w:rPr>
          <w:i/>
          <w:iCs/>
        </w:rPr>
        <w:t>Difatti, è vero che, in base all’art. 7, comma 2, n. 1, della legge 17 agosto 1942, n. 1150 (c.d. “legge urbanistica”), il piano regolatore generale di un ente locale non può prescindere, nella programmazione urbanistica, dalla «rete delle principali vie di comunicazione stradali, ferroviarie e navigabili e dei relativi impianti» (e, quindi, anche dalle infrastrutture autostradali), che sono stati realizzati sul territorio comunale anche per effetto della previsione di fonti superiori, e non può prevedere né imporre opere che siano paesaggisticamente ed urbanisticamente incoerenti con le superiori determinazioni (del resto, secondo la gerarchia delle fonti, le norme primarie prevalgono sugli strumenti urbanistici adottati dagli enti locali con provvedimenti di natura regolamentare), ma si tratta di una mera ed inevitabile conseguenza dell’immanenza delle opere autostradali, che non comporta il riconoscimento della perdita della proprietà demaniale né tange il potere impositivo dell’ente locale sugli spazi sovrastanti le strade comunali per effetto della loro apprensione da parte dello Stato (o del suo concessionario).</w:t>
      </w:r>
      <w:r>
        <w:rPr>
          <w:i/>
          <w:iCs/>
        </w:rPr>
        <w:t>”</w:t>
      </w:r>
    </w:p>
    <w:p w14:paraId="0E7E9351" w14:textId="78C7A64E" w:rsidR="00E37167" w:rsidRDefault="00E37167" w:rsidP="0071531F">
      <w:pPr>
        <w:jc w:val="both"/>
      </w:pPr>
      <w:r>
        <w:t xml:space="preserve">Infine analizziamo il contenuto della </w:t>
      </w:r>
      <w:r w:rsidR="009B2FB5" w:rsidRPr="009B2FB5">
        <w:rPr>
          <w:b/>
          <w:bCs/>
        </w:rPr>
        <w:t>S</w:t>
      </w:r>
      <w:r w:rsidRPr="009B2FB5">
        <w:rPr>
          <w:b/>
          <w:bCs/>
        </w:rPr>
        <w:t>entenza n. 6830 del 2025</w:t>
      </w:r>
      <w:r w:rsidR="009B2FB5" w:rsidRPr="009B2FB5">
        <w:rPr>
          <w:b/>
          <w:bCs/>
        </w:rPr>
        <w:t xml:space="preserve"> pubblicata il 14/03/2025</w:t>
      </w:r>
      <w:r>
        <w:t xml:space="preserve"> nella quale leggiamo:</w:t>
      </w:r>
    </w:p>
    <w:p w14:paraId="09D13512" w14:textId="2C12DC45" w:rsidR="00E37167" w:rsidRDefault="00E37167" w:rsidP="0071531F">
      <w:pPr>
        <w:jc w:val="both"/>
        <w:rPr>
          <w:i/>
          <w:iCs/>
        </w:rPr>
      </w:pPr>
      <w:r w:rsidRPr="00E37167">
        <w:rPr>
          <w:i/>
          <w:iCs/>
        </w:rPr>
        <w:t>“</w:t>
      </w:r>
      <w:r w:rsidRPr="00E37167">
        <w:rPr>
          <w:i/>
          <w:iCs/>
        </w:rPr>
        <w:t>Questi elementi sono più che sufficienti a radicare la debenza del canone in capo alla concessionaria e occupante API, mentre risulta marginale e privo di decisività indagare la effettiva proprietà dell'infrastruttura autostradale e dei pontoni che occupano per proiezione la strada provinciale sottostante, attesa la rilevanza dirimente della accertata ed indiscussa circostanza che la società ne disponeva per la gestione quale concessionaria ed in tal modo realizzava la condotta di "occupazione".</w:t>
      </w:r>
      <w:r>
        <w:rPr>
          <w:i/>
          <w:iCs/>
        </w:rPr>
        <w:t xml:space="preserve"> </w:t>
      </w:r>
      <w:r w:rsidRPr="00E37167">
        <w:rPr>
          <w:i/>
          <w:iCs/>
        </w:rPr>
        <w:t>Ben può essere condivisa, quindi, l'affermazione della Corte di appello secondo la quale l'obbligazione di pagamento del canone grava solo sul soggetto che occupa lo spazio pubblico in modo abusivo e di fatto, per avvalersene ai fini dell'attività d'impresa svolta.</w:t>
      </w:r>
      <w:r w:rsidRPr="00E37167">
        <w:rPr>
          <w:i/>
          <w:iCs/>
        </w:rPr>
        <w:t>”</w:t>
      </w:r>
    </w:p>
    <w:p w14:paraId="107DB6D2" w14:textId="0CDF2052" w:rsidR="00E37167" w:rsidRDefault="00E37167" w:rsidP="0071531F">
      <w:pPr>
        <w:jc w:val="both"/>
        <w:rPr>
          <w:i/>
          <w:iCs/>
        </w:rPr>
      </w:pPr>
      <w:r>
        <w:t>I giudici sottolineano la necessità di rilevare la presenza del requisito soggettivo per godere dell’esenzione:</w:t>
      </w:r>
      <w:r w:rsidRPr="00E37167">
        <w:rPr>
          <w:i/>
          <w:iCs/>
        </w:rPr>
        <w:t xml:space="preserve"> “</w:t>
      </w:r>
      <w:r w:rsidRPr="00E37167">
        <w:rPr>
          <w:i/>
          <w:iCs/>
        </w:rPr>
        <w:t>9. Va anche rammentato che lo svolgimento di un’attività strumentale alla realizzazione di un fine pubblico non è sufficiente a giustificare l’esenzione dalla COSAP in quanto le disposizioni normative sono chiare nell’indicare la necessaria presenza di un ulteriore presupposto ai fini dell’applicazione dell’esenzione, ovvero che il soggetto occupante sia lo Stato (Cass., sez. 1, 29/5/2023, n. 15010; Cass., n. 25614 del 2024).</w:t>
      </w:r>
      <w:r w:rsidRPr="00E37167">
        <w:rPr>
          <w:i/>
          <w:iCs/>
        </w:rPr>
        <w:t>”</w:t>
      </w:r>
    </w:p>
    <w:p w14:paraId="5C612434" w14:textId="59B6FED4" w:rsidR="00E37167" w:rsidRDefault="00E37167" w:rsidP="0071531F">
      <w:pPr>
        <w:jc w:val="both"/>
      </w:pPr>
      <w:r>
        <w:t xml:space="preserve">In questo senso viene anche ricordata la </w:t>
      </w:r>
      <w:r w:rsidRPr="00E37167">
        <w:t>natura di stretta interpretazione delle norme tributarie che prevedano esenzioni o agevolazioni</w:t>
      </w:r>
      <w:r>
        <w:t>, che pertanto non possono essere traslate a diverso soggetto giuridico.</w:t>
      </w:r>
    </w:p>
    <w:p w14:paraId="283DDDE2" w14:textId="7443A65A" w:rsidR="00E37167" w:rsidRDefault="00E37167" w:rsidP="00E37167">
      <w:pPr>
        <w:jc w:val="both"/>
        <w:rPr>
          <w:i/>
          <w:iCs/>
        </w:rPr>
      </w:pPr>
      <w:r>
        <w:t xml:space="preserve">Vengono inequivocabilmente superate le motivazioni del Consiglio di Stato: </w:t>
      </w:r>
      <w:r w:rsidRPr="00E37167">
        <w:rPr>
          <w:i/>
          <w:iCs/>
        </w:rPr>
        <w:t>“</w:t>
      </w:r>
      <w:r w:rsidRPr="00E37167">
        <w:rPr>
          <w:i/>
          <w:iCs/>
        </w:rPr>
        <w:t xml:space="preserve">11. </w:t>
      </w:r>
      <w:r w:rsidRPr="005B12D7">
        <w:rPr>
          <w:i/>
          <w:iCs/>
          <w:u w:val="single"/>
        </w:rPr>
        <w:t>Le sentenze amministrative citate dalla ricorrente non sono in grado di travolgere l’indirizzo giurisprudenziale di legittimità ormai consolidato</w:t>
      </w:r>
      <w:r w:rsidRPr="00E37167">
        <w:rPr>
          <w:i/>
          <w:iCs/>
        </w:rPr>
        <w:t xml:space="preserve"> (Cass., sez. 1, 18 aprile 2023, n. 10351; Cass., n. 25614 del 2024). 12. Non è dirimente la dedotta assenza di poteri di rimozione o di riappropriazione del bene da parte del Comune, poiché tale limite non vale ad escludere l’imposizione fiscale, semmai a confermarla, in ragione della perdurante occupazione (Cass. sez. 5, n. 15162 del 2024).</w:t>
      </w:r>
      <w:r w:rsidRPr="00E37167">
        <w:rPr>
          <w:i/>
          <w:iCs/>
        </w:rPr>
        <w:t>”</w:t>
      </w:r>
    </w:p>
    <w:p w14:paraId="757EAB3C" w14:textId="0D6C84B1" w:rsidR="005B12D7" w:rsidRDefault="005B12D7" w:rsidP="00E37167">
      <w:pPr>
        <w:jc w:val="both"/>
        <w:rPr>
          <w:i/>
          <w:iCs/>
        </w:rPr>
      </w:pPr>
      <w:r>
        <w:t xml:space="preserve">Prosegue: </w:t>
      </w:r>
      <w:r w:rsidRPr="005B12D7">
        <w:rPr>
          <w:i/>
          <w:iCs/>
        </w:rPr>
        <w:t>“</w:t>
      </w:r>
      <w:r w:rsidRPr="005B12D7">
        <w:rPr>
          <w:i/>
          <w:iCs/>
        </w:rPr>
        <w:t xml:space="preserve">12.1. Inoltre, si è già chiarito (Cass., sez. 1, 25/7/2024, n. 20708) che le citate pronunce del Consiglio di Stato, che, peraltro, non si confrontano con l'ormai consolidato indirizzo di questa Corte di cui si è dato conto, offrono una lettura ermeneutica del "combinato disposto" delle norme in discussione non </w:t>
      </w:r>
      <w:r w:rsidRPr="005B12D7">
        <w:rPr>
          <w:i/>
          <w:iCs/>
        </w:rPr>
        <w:lastRenderedPageBreak/>
        <w:t>rispondente al dettato complessivo della stessa disciplina nei termini precisati e non rispettosa dei suesposti principi, oltre che</w:t>
      </w:r>
      <w:r>
        <w:rPr>
          <w:i/>
          <w:iCs/>
        </w:rPr>
        <w:t xml:space="preserve"> </w:t>
      </w:r>
      <w:r w:rsidRPr="005B12D7">
        <w:rPr>
          <w:i/>
          <w:iCs/>
        </w:rPr>
        <w:t xml:space="preserve">contrastante con il tenore letterale delle previsioni del regolamento </w:t>
      </w:r>
      <w:proofErr w:type="spellStart"/>
      <w:r w:rsidRPr="005B12D7">
        <w:rPr>
          <w:i/>
          <w:iCs/>
        </w:rPr>
        <w:t>cosap</w:t>
      </w:r>
      <w:proofErr w:type="spellEnd"/>
      <w:r w:rsidRPr="005B12D7">
        <w:rPr>
          <w:i/>
          <w:iCs/>
        </w:rPr>
        <w:t xml:space="preserve"> ora in esame. In particolare, come si è rimarcato, l'elemento scriminante, che consente di escludere l'assoggettamento al </w:t>
      </w:r>
      <w:proofErr w:type="spellStart"/>
      <w:r w:rsidRPr="005B12D7">
        <w:rPr>
          <w:i/>
          <w:iCs/>
        </w:rPr>
        <w:t>cosap</w:t>
      </w:r>
      <w:proofErr w:type="spellEnd"/>
      <w:r w:rsidRPr="005B12D7">
        <w:rPr>
          <w:i/>
          <w:iCs/>
        </w:rPr>
        <w:t>, è l'occupazione dello spazio dell'ente locale posta in essere direttamente dal soggetto esente, il che incontrovertibilmente non è nella specie.</w:t>
      </w:r>
      <w:r>
        <w:rPr>
          <w:i/>
          <w:iCs/>
        </w:rPr>
        <w:t>”</w:t>
      </w:r>
    </w:p>
    <w:p w14:paraId="6FCFAE38" w14:textId="5C7655CA" w:rsidR="005B12D7" w:rsidRDefault="005B12D7" w:rsidP="00E37167">
      <w:pPr>
        <w:jc w:val="both"/>
      </w:pPr>
      <w:r>
        <w:t xml:space="preserve">In conclusione possiamo </w:t>
      </w:r>
      <w:r w:rsidR="00B96B85">
        <w:t xml:space="preserve">pacificamente </w:t>
      </w:r>
      <w:r>
        <w:t xml:space="preserve">affermare </w:t>
      </w:r>
      <w:r w:rsidR="00FE5062">
        <w:t>che</w:t>
      </w:r>
      <w:r>
        <w:t xml:space="preserve"> la Corte di Cassazione non </w:t>
      </w:r>
      <w:r w:rsidR="00FE5062">
        <w:t>ha</w:t>
      </w:r>
      <w:r>
        <w:t xml:space="preserve"> modificato il proprio orientamento</w:t>
      </w:r>
      <w:r w:rsidR="00FE5062">
        <w:t>,</w:t>
      </w:r>
      <w:r>
        <w:t xml:space="preserve"> già formato</w:t>
      </w:r>
      <w:r w:rsidR="00B96B85">
        <w:t>si</w:t>
      </w:r>
      <w:r>
        <w:t xml:space="preserve"> nel corso degli </w:t>
      </w:r>
      <w:r w:rsidR="00C82372">
        <w:t>anni in</w:t>
      </w:r>
      <w:r>
        <w:t xml:space="preserve"> sede di ricorsi </w:t>
      </w:r>
      <w:r w:rsidR="00B96B85">
        <w:t xml:space="preserve">radicati innanzi </w:t>
      </w:r>
      <w:r w:rsidR="00FE5062">
        <w:t>a</w:t>
      </w:r>
      <w:r>
        <w:t xml:space="preserve"> Corti Tributarie e Tribunali Ordinari, nonostante alcune sentenze di Consiglio di Stato nelle quali i giudici amministrativi, non confrontandosi con l’orientamento già assunto dalla stessa Cassazione, aveva accolto i ricorsi </w:t>
      </w:r>
      <w:r w:rsidR="00B96B85">
        <w:t xml:space="preserve">proposti </w:t>
      </w:r>
      <w:r>
        <w:t>d</w:t>
      </w:r>
      <w:r w:rsidR="00B96B85">
        <w:t>a</w:t>
      </w:r>
      <w:r>
        <w:t>lle concessionarie autostradali.</w:t>
      </w:r>
    </w:p>
    <w:p w14:paraId="1AF05561" w14:textId="70A4158B" w:rsidR="005B12D7" w:rsidRPr="005B12D7" w:rsidRDefault="00C82372" w:rsidP="00E37167">
      <w:pPr>
        <w:jc w:val="both"/>
      </w:pPr>
      <w:r>
        <w:t>La</w:t>
      </w:r>
      <w:r w:rsidR="005B12D7">
        <w:t xml:space="preserve"> Corte di Cassazione con diverse </w:t>
      </w:r>
      <w:r w:rsidR="00B96B85">
        <w:t xml:space="preserve">recenti </w:t>
      </w:r>
      <w:r w:rsidR="005B12D7">
        <w:t>sentenze</w:t>
      </w:r>
      <w:r w:rsidR="00B96B85">
        <w:t>,</w:t>
      </w:r>
      <w:r w:rsidR="005B12D7">
        <w:t xml:space="preserve"> alcune delle quali scelte per l’odierno approfondimento,</w:t>
      </w:r>
      <w:r>
        <w:t xml:space="preserve"> ha confermato l’orientamento che vuole </w:t>
      </w:r>
      <w:r w:rsidR="00B96B85">
        <w:t xml:space="preserve">sempre </w:t>
      </w:r>
      <w:r>
        <w:t xml:space="preserve">le occupazioni </w:t>
      </w:r>
      <w:r w:rsidR="00B96B85">
        <w:t xml:space="preserve">di soprassuolo </w:t>
      </w:r>
      <w:r>
        <w:t>realizzate con i viadotti</w:t>
      </w:r>
      <w:r w:rsidR="00B96B85">
        <w:t>,</w:t>
      </w:r>
      <w:r>
        <w:t xml:space="preserve"> come soggette al prelievo dedicato al presupposto del suolo pubblico, ovvero TOSAP, COSAP e l’attuale CUP, con buona pace delle concessionarie autostradali che </w:t>
      </w:r>
      <w:r w:rsidR="00B96B85">
        <w:t xml:space="preserve">avevano </w:t>
      </w:r>
      <w:r w:rsidR="00427CD7">
        <w:t>adottato</w:t>
      </w:r>
      <w:r w:rsidR="00B96B85">
        <w:t xml:space="preserve"> un cambio di strategia difensiva radicando </w:t>
      </w:r>
      <w:proofErr w:type="gramStart"/>
      <w:r w:rsidR="00B96B85">
        <w:t>i contenzioni</w:t>
      </w:r>
      <w:proofErr w:type="gramEnd"/>
      <w:r w:rsidR="00B96B85">
        <w:t xml:space="preserve"> presso la giustizia amministrativa.</w:t>
      </w:r>
      <w:r>
        <w:t xml:space="preserve"> </w:t>
      </w:r>
    </w:p>
    <w:sectPr w:rsidR="005B12D7" w:rsidRPr="005B12D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F5C"/>
    <w:rsid w:val="00053881"/>
    <w:rsid w:val="00060149"/>
    <w:rsid w:val="00061F45"/>
    <w:rsid w:val="000B4EA0"/>
    <w:rsid w:val="00165223"/>
    <w:rsid w:val="001D69BA"/>
    <w:rsid w:val="001E1E80"/>
    <w:rsid w:val="00234971"/>
    <w:rsid w:val="00245C90"/>
    <w:rsid w:val="00250A31"/>
    <w:rsid w:val="0026326F"/>
    <w:rsid w:val="00264AEE"/>
    <w:rsid w:val="00285772"/>
    <w:rsid w:val="00323286"/>
    <w:rsid w:val="0035091B"/>
    <w:rsid w:val="003B445E"/>
    <w:rsid w:val="003C3CBC"/>
    <w:rsid w:val="00427CD7"/>
    <w:rsid w:val="004A6A50"/>
    <w:rsid w:val="005A38FB"/>
    <w:rsid w:val="005B12D7"/>
    <w:rsid w:val="00666D7F"/>
    <w:rsid w:val="00706451"/>
    <w:rsid w:val="0071531F"/>
    <w:rsid w:val="0076245B"/>
    <w:rsid w:val="007B1496"/>
    <w:rsid w:val="0081019D"/>
    <w:rsid w:val="00901AD8"/>
    <w:rsid w:val="00973219"/>
    <w:rsid w:val="009A55D8"/>
    <w:rsid w:val="009B2FB5"/>
    <w:rsid w:val="00B43FEC"/>
    <w:rsid w:val="00B96B85"/>
    <w:rsid w:val="00BC6EDB"/>
    <w:rsid w:val="00BE4D9E"/>
    <w:rsid w:val="00C52A69"/>
    <w:rsid w:val="00C82372"/>
    <w:rsid w:val="00D75582"/>
    <w:rsid w:val="00DD243C"/>
    <w:rsid w:val="00DE4E80"/>
    <w:rsid w:val="00DF0863"/>
    <w:rsid w:val="00E37167"/>
    <w:rsid w:val="00F04E4D"/>
    <w:rsid w:val="00F67C6C"/>
    <w:rsid w:val="00FB5F5C"/>
    <w:rsid w:val="00FC6370"/>
    <w:rsid w:val="00FE506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7CBA2"/>
  <w15:chartTrackingRefBased/>
  <w15:docId w15:val="{364B7B00-1B34-4004-B6CC-454C5826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B5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FB5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FB5F5C"/>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FB5F5C"/>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FB5F5C"/>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FB5F5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B5F5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B5F5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B5F5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B5F5C"/>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FB5F5C"/>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FB5F5C"/>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FB5F5C"/>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FB5F5C"/>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FB5F5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B5F5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B5F5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B5F5C"/>
    <w:rPr>
      <w:rFonts w:eastAsiaTheme="majorEastAsia" w:cstheme="majorBidi"/>
      <w:color w:val="272727" w:themeColor="text1" w:themeTint="D8"/>
    </w:rPr>
  </w:style>
  <w:style w:type="paragraph" w:styleId="Titolo">
    <w:name w:val="Title"/>
    <w:basedOn w:val="Normale"/>
    <w:next w:val="Normale"/>
    <w:link w:val="TitoloCarattere"/>
    <w:uiPriority w:val="10"/>
    <w:qFormat/>
    <w:rsid w:val="00FB5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B5F5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B5F5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B5F5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B5F5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B5F5C"/>
    <w:rPr>
      <w:i/>
      <w:iCs/>
      <w:color w:val="404040" w:themeColor="text1" w:themeTint="BF"/>
    </w:rPr>
  </w:style>
  <w:style w:type="paragraph" w:styleId="Paragrafoelenco">
    <w:name w:val="List Paragraph"/>
    <w:basedOn w:val="Normale"/>
    <w:uiPriority w:val="34"/>
    <w:qFormat/>
    <w:rsid w:val="00FB5F5C"/>
    <w:pPr>
      <w:ind w:left="720"/>
      <w:contextualSpacing/>
    </w:pPr>
  </w:style>
  <w:style w:type="character" w:styleId="Enfasiintensa">
    <w:name w:val="Intense Emphasis"/>
    <w:basedOn w:val="Carpredefinitoparagrafo"/>
    <w:uiPriority w:val="21"/>
    <w:qFormat/>
    <w:rsid w:val="00FB5F5C"/>
    <w:rPr>
      <w:i/>
      <w:iCs/>
      <w:color w:val="2F5496" w:themeColor="accent1" w:themeShade="BF"/>
    </w:rPr>
  </w:style>
  <w:style w:type="paragraph" w:styleId="Citazioneintensa">
    <w:name w:val="Intense Quote"/>
    <w:basedOn w:val="Normale"/>
    <w:next w:val="Normale"/>
    <w:link w:val="CitazioneintensaCarattere"/>
    <w:uiPriority w:val="30"/>
    <w:qFormat/>
    <w:rsid w:val="00FB5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FB5F5C"/>
    <w:rPr>
      <w:i/>
      <w:iCs/>
      <w:color w:val="2F5496" w:themeColor="accent1" w:themeShade="BF"/>
    </w:rPr>
  </w:style>
  <w:style w:type="character" w:styleId="Riferimentointenso">
    <w:name w:val="Intense Reference"/>
    <w:basedOn w:val="Carpredefinitoparagrafo"/>
    <w:uiPriority w:val="32"/>
    <w:qFormat/>
    <w:rsid w:val="00FB5F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411</TotalTime>
  <Pages>5</Pages>
  <Words>2887</Words>
  <Characters>16462</Characters>
  <Application>Microsoft Office Word</Application>
  <DocSecurity>0</DocSecurity>
  <Lines>137</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10</cp:revision>
  <dcterms:created xsi:type="dcterms:W3CDTF">2025-06-06T10:55:00Z</dcterms:created>
  <dcterms:modified xsi:type="dcterms:W3CDTF">2025-06-09T10:32:00Z</dcterms:modified>
</cp:coreProperties>
</file>