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695AF" w14:textId="5351D933" w:rsidR="002F3C67" w:rsidRPr="00F8391A" w:rsidRDefault="000661C2">
      <w:pPr>
        <w:rPr>
          <w:b/>
          <w:bCs/>
        </w:rPr>
      </w:pPr>
      <w:r w:rsidRPr="00F8391A">
        <w:rPr>
          <w:b/>
          <w:bCs/>
        </w:rPr>
        <w:t>Titolo: la procedura di chiusura attività</w:t>
      </w:r>
      <w:r w:rsidR="00F8391A" w:rsidRPr="00F8391A">
        <w:rPr>
          <w:b/>
          <w:bCs/>
        </w:rPr>
        <w:t xml:space="preserve"> </w:t>
      </w:r>
      <w:r w:rsidRPr="00F8391A">
        <w:rPr>
          <w:b/>
          <w:bCs/>
        </w:rPr>
        <w:t>come contrasto alle occupazioni di suolo pubblico abusive</w:t>
      </w:r>
    </w:p>
    <w:p w14:paraId="3C2ED253" w14:textId="587548F7" w:rsidR="000661C2" w:rsidRPr="00F8391A" w:rsidRDefault="000661C2">
      <w:pPr>
        <w:rPr>
          <w:b/>
          <w:bCs/>
        </w:rPr>
      </w:pPr>
      <w:r w:rsidRPr="00F8391A">
        <w:rPr>
          <w:b/>
          <w:bCs/>
        </w:rPr>
        <w:t>Di Alessandro Merciari</w:t>
      </w:r>
    </w:p>
    <w:p w14:paraId="26E97117" w14:textId="77777777" w:rsidR="000661C2" w:rsidRDefault="000661C2"/>
    <w:p w14:paraId="6BDBDE27" w14:textId="42E54687" w:rsidR="000661C2" w:rsidRDefault="000661C2" w:rsidP="000661C2">
      <w:pPr>
        <w:jc w:val="both"/>
      </w:pPr>
      <w:r>
        <w:t>Con l’odierno approfondimento analizziamo una speciale procedura a disposizione dei Comuni per contrastare il fenomeno delle occupazioni abusive realizzate nei contesti cittadini da</w:t>
      </w:r>
      <w:r w:rsidR="00F8391A">
        <w:t xml:space="preserve"> parte delle</w:t>
      </w:r>
      <w:r>
        <w:t xml:space="preserve"> attività commerciali.</w:t>
      </w:r>
    </w:p>
    <w:p w14:paraId="619161F2" w14:textId="1EE24EDB" w:rsidR="00512A71" w:rsidRDefault="00512A71" w:rsidP="000661C2">
      <w:pPr>
        <w:jc w:val="both"/>
      </w:pPr>
      <w:r>
        <w:t>In questi ultimi anni, anche in conseguenza della pandemia da Covid-19, si</w:t>
      </w:r>
      <w:r w:rsidR="000661C2">
        <w:t xml:space="preserve"> </w:t>
      </w:r>
      <w:r w:rsidR="00C8727D">
        <w:t xml:space="preserve">è </w:t>
      </w:r>
      <w:r w:rsidR="000661C2">
        <w:t>registra</w:t>
      </w:r>
      <w:r w:rsidR="00C8727D">
        <w:t>to</w:t>
      </w:r>
      <w:r w:rsidR="000661C2">
        <w:t xml:space="preserve"> un crescente fenomeno di occupazioni abusive di suolo pubblico realizzate a fini di commercio, arrivando, specie nei centri con vocazione turistica e commerciale, a compromettere la sicurezza, la vivibilità e il decoro dell'ambiente urbano.</w:t>
      </w:r>
    </w:p>
    <w:p w14:paraId="62F6F9FA" w14:textId="392877B1" w:rsidR="00512A71" w:rsidRDefault="00512A71" w:rsidP="000661C2">
      <w:pPr>
        <w:jc w:val="both"/>
      </w:pPr>
      <w:r>
        <w:t>Del resto m</w:t>
      </w:r>
      <w:r w:rsidR="000661C2">
        <w:t>olti interessi economici ruotano attorno allo sfruttamento di aree pubbliche</w:t>
      </w:r>
      <w:r w:rsidR="00F36897">
        <w:t>, specialmente nel settore dei pubblici esercizi</w:t>
      </w:r>
      <w:r w:rsidR="000661C2">
        <w:t>. Superfici molto appetibili che sopperiscono a carenze di aree di vendita interne ai locali e che rappresentano un richiamo importante per la clientela.</w:t>
      </w:r>
    </w:p>
    <w:p w14:paraId="6EC3ED26" w14:textId="77777777" w:rsidR="00512A71" w:rsidRDefault="000661C2" w:rsidP="000661C2">
      <w:pPr>
        <w:jc w:val="both"/>
      </w:pPr>
      <w:r>
        <w:t xml:space="preserve">Il contrasto attuato con i controlli della Polizia </w:t>
      </w:r>
      <w:r w:rsidR="00512A71">
        <w:t>Locale</w:t>
      </w:r>
      <w:r>
        <w:t xml:space="preserve"> permette solitamente solo un parziale ritorno economico dal pagamento delle sanzioni</w:t>
      </w:r>
      <w:r w:rsidR="00512A71">
        <w:t xml:space="preserve"> elevate per la violazione dell’articolo 20 del Codice della Strada</w:t>
      </w:r>
      <w:r>
        <w:t xml:space="preserve">, senza tuttavia fermare il fenomeno di abusivismo. </w:t>
      </w:r>
    </w:p>
    <w:p w14:paraId="1FB0996A" w14:textId="787F3F6B" w:rsidR="00512A71" w:rsidRDefault="000661C2" w:rsidP="000661C2">
      <w:pPr>
        <w:jc w:val="both"/>
      </w:pPr>
      <w:r>
        <w:t xml:space="preserve">Per la tutela del patrimonio si impone </w:t>
      </w:r>
      <w:r w:rsidR="00F36897">
        <w:t>quindi</w:t>
      </w:r>
      <w:r>
        <w:t xml:space="preserve"> un cambio di strategia e con questa finalità alcun</w:t>
      </w:r>
      <w:r w:rsidR="00512A71">
        <w:t xml:space="preserve">i Comuni,  </w:t>
      </w:r>
      <w:r>
        <w:t xml:space="preserve">hanno iniziato ad applicare il disposto di cui all'articolo 3, comma 16, della legge 94/2009 che sostanzialmente prevede, nei casi di indebita occupazione di suolo pubblico, l'ordinanza di immediato ripristino dello stato dei luoghi a spese degli occupanti e, se si tratta di occupazione a fine di commercio, la chiusura dell'esercizio fino al pieno adempimento dell'ordine e comunque per un periodo non inferiore a cinque giorni. </w:t>
      </w:r>
    </w:p>
    <w:p w14:paraId="2F13319D" w14:textId="4C946E31" w:rsidR="00512A71" w:rsidRDefault="00512A71" w:rsidP="000661C2">
      <w:pPr>
        <w:jc w:val="both"/>
      </w:pPr>
      <w:r>
        <w:t>Il testo normativo prevede: “</w:t>
      </w:r>
      <w:r w:rsidRPr="00512A71">
        <w:rPr>
          <w:i/>
          <w:iCs/>
        </w:rPr>
        <w:t>16. Fatti salvi i provvedimenti dell'autorità per motivi di ordine pubblico, nei casi di indebita occupazione di suolo pubblico previsti dall'articolo 633 del codice penale e dall'articolo 20 del decreto legislativo 30 aprile 1992, n. 285, e successive modificazioni, il sindaco, per le strade urbane, e il prefetto, per quelle extraurbane o, quando ricorrono motivi di sicurezza pubblica, per ogni luogo, possono ordinare l'immediato ripristino dello stato dei luoghi a spese degli occupanti e, se si tratta di occupazione a fine di commercio, la chiusura dell'esercizio fino al pieno adempimento dell'ordine e del pagamento delle spese o della prestazione di idonea garanzia e, comunque, per un periodo non inferiore a cinque giorni.”</w:t>
      </w:r>
    </w:p>
    <w:p w14:paraId="48A24D4D" w14:textId="6310BC9C" w:rsidR="00577A5B" w:rsidRDefault="000661C2" w:rsidP="000661C2">
      <w:pPr>
        <w:jc w:val="both"/>
      </w:pPr>
      <w:r>
        <w:t>La chiusura dell'attività ha un effetto dirompente e quanto mai incisivo</w:t>
      </w:r>
      <w:r w:rsidR="00512A71">
        <w:t>,</w:t>
      </w:r>
      <w:r>
        <w:t xml:space="preserve"> che colpi</w:t>
      </w:r>
      <w:r w:rsidR="00512A71">
        <w:t>sce direttamente</w:t>
      </w:r>
      <w:r>
        <w:t xml:space="preserve"> la vita e gli interessi delle attività commerciali stesse che hanno commesso l'abuso. </w:t>
      </w:r>
      <w:r w:rsidR="00512A71">
        <w:t xml:space="preserve">Allo stesso tempo risulta molto efficace per le Pubbliche Amministrazioni </w:t>
      </w:r>
      <w:r w:rsidR="00693494">
        <w:t>che</w:t>
      </w:r>
      <w:r w:rsidR="00F36897">
        <w:t xml:space="preserve">, senza </w:t>
      </w:r>
      <w:r>
        <w:t xml:space="preserve">eccessivi </w:t>
      </w:r>
      <w:r w:rsidR="00693494">
        <w:t>oneri, riesce</w:t>
      </w:r>
      <w:r>
        <w:t xml:space="preserve"> a ottenere il massimo effetto </w:t>
      </w:r>
      <w:r w:rsidR="00F36897">
        <w:t xml:space="preserve">evitando di </w:t>
      </w:r>
      <w:r>
        <w:t xml:space="preserve">sostenere quei costi di rimozione e custodia dei beni sequestrati </w:t>
      </w:r>
      <w:r w:rsidR="00693494">
        <w:t>di cui</w:t>
      </w:r>
      <w:r w:rsidR="00F36897">
        <w:t xml:space="preserve"> abbiamo già </w:t>
      </w:r>
      <w:r w:rsidR="00693494">
        <w:t xml:space="preserve">parlato </w:t>
      </w:r>
      <w:r>
        <w:t xml:space="preserve">nelle procedure di rimozione </w:t>
      </w:r>
      <w:r w:rsidR="00577A5B">
        <w:t>degli impianti pubblicitari</w:t>
      </w:r>
      <w:r>
        <w:t xml:space="preserve">. </w:t>
      </w:r>
    </w:p>
    <w:p w14:paraId="774F7D67" w14:textId="277F1119" w:rsidR="00C91798" w:rsidRDefault="00C91798" w:rsidP="00C91798">
      <w:pPr>
        <w:jc w:val="both"/>
      </w:pPr>
      <w:r>
        <w:t>Molte amministrazioni hanno attivato così una campagna di contrasto al fenomeno delle occupazioni abusive di suolo pubblico a fini di commercio, con l’obiettivo di tutelare la sicurezza urbana, garantire l’agevole circolazione di pedoni e di mezzi di soccorso e contrastare tutte quelle situazioni di degrado del territorio che alterano il decoro urbano e determinano lo scadimento della qualità e dell’immagine delle</w:t>
      </w:r>
      <w:r w:rsidR="00693494">
        <w:t xml:space="preserve"> nostre</w:t>
      </w:r>
      <w:r>
        <w:t xml:space="preserve"> città.</w:t>
      </w:r>
    </w:p>
    <w:p w14:paraId="447BA227" w14:textId="615AE9C6" w:rsidR="0021492E" w:rsidRDefault="00C91798" w:rsidP="00C91798">
      <w:pPr>
        <w:jc w:val="both"/>
      </w:pPr>
      <w:r>
        <w:t xml:space="preserve">Le occupazioni abusive </w:t>
      </w:r>
      <w:r w:rsidR="0059635F">
        <w:t xml:space="preserve">infatti </w:t>
      </w:r>
      <w:r>
        <w:t>compromettono la vivibilità e la qualità dell’ambiente urbano nonché la sicurezza stradale, pregiudicandone le condizioni di fruibilità da parte dei cittadini. In questo senso, così come previsto dall’art 3 comma 2 del D.Lgs. 267/</w:t>
      </w:r>
      <w:r w:rsidR="0059635F">
        <w:t>2000, il</w:t>
      </w:r>
      <w:r>
        <w:t xml:space="preserve"> Comune è l’ente locale che rappresenta la propria comunità, ne cura gli interessi e ne promuove lo sviluppo. </w:t>
      </w:r>
    </w:p>
    <w:p w14:paraId="0B4E6630" w14:textId="2209ADBA" w:rsidR="00C91798" w:rsidRDefault="00C91798" w:rsidP="00C91798">
      <w:pPr>
        <w:jc w:val="both"/>
      </w:pPr>
      <w:r>
        <w:t>Il ruolo di rappresentanza degli interessi della comunità cittadina, assegnato all’ente locale, si esprime anche con riferimento alle istanze di tutela e valorizzazione del territorio, del suolo pubblico e del decoro urbano</w:t>
      </w:r>
      <w:r w:rsidR="0021492E">
        <w:t>.</w:t>
      </w:r>
    </w:p>
    <w:p w14:paraId="0875DC7F" w14:textId="27F9B881" w:rsidR="0021492E" w:rsidRDefault="0021492E" w:rsidP="00C91798">
      <w:pPr>
        <w:jc w:val="both"/>
      </w:pPr>
      <w:r>
        <w:lastRenderedPageBreak/>
        <w:t xml:space="preserve">Il ricorso alla procedura di cui alla Legge 94/2009 trova giustificazione con </w:t>
      </w:r>
      <w:r w:rsidRPr="0021492E">
        <w:t>il fine pubblico che l’Amministrazione intende perseguire</w:t>
      </w:r>
      <w:r>
        <w:t xml:space="preserve">, ovvero quello di </w:t>
      </w:r>
      <w:r w:rsidRPr="0021492E">
        <w:t xml:space="preserve">inibire l’utilizzo del suolo </w:t>
      </w:r>
      <w:r w:rsidR="00693494">
        <w:t>demaniale</w:t>
      </w:r>
      <w:r w:rsidRPr="0021492E">
        <w:t xml:space="preserve"> in assenza di idonea autorizzazione</w:t>
      </w:r>
      <w:r w:rsidR="00693494">
        <w:t>, onde evitare possibili</w:t>
      </w:r>
      <w:r w:rsidRPr="0021492E">
        <w:t xml:space="preserve"> lesion</w:t>
      </w:r>
      <w:r w:rsidR="00693494">
        <w:t>i</w:t>
      </w:r>
      <w:r w:rsidRPr="0021492E">
        <w:t xml:space="preserve"> del patrimonio pubblico</w:t>
      </w:r>
      <w:r>
        <w:t>.</w:t>
      </w:r>
    </w:p>
    <w:p w14:paraId="2D9C8FC0" w14:textId="0E5FE166" w:rsidR="0021492E" w:rsidRDefault="0021492E" w:rsidP="00C91798">
      <w:pPr>
        <w:jc w:val="both"/>
      </w:pPr>
      <w:r>
        <w:t>L</w:t>
      </w:r>
      <w:r w:rsidRPr="0021492E">
        <w:t xml:space="preserve">a Circolare del Ministero dell’Interno, Dipartimento di Pubblica Sicurezza prot. n. 557/LEG/240520.09, Allegato 3,  in merito all’interpretazione delle disposizioni introdotte dalla Legge 15 Luglio 2009 n. 94, art. 3, commi 16, 17 e 18, evidenzia che </w:t>
      </w:r>
      <w:r w:rsidRPr="00804BF6">
        <w:rPr>
          <w:i/>
          <w:iCs/>
        </w:rPr>
        <w:t xml:space="preserve">“le nuove disposizioni superano quelle del comma 5 dell’art. 20 del Codice della Strada, nella parte in cui stabiliscono che all’accertamento dell’illecito di indebita occupazione di suolo pubblico consegua l’applicazione della sanzione amministrativa accessoria del ripristino dello stato dei luoghi”, </w:t>
      </w:r>
      <w:r>
        <w:t>avallandone l’applicazione.</w:t>
      </w:r>
    </w:p>
    <w:p w14:paraId="7A465DFC" w14:textId="77C73A20" w:rsidR="00C8727D" w:rsidRDefault="00C8727D" w:rsidP="00C8727D">
      <w:pPr>
        <w:jc w:val="both"/>
      </w:pPr>
      <w:r>
        <w:t xml:space="preserve">Sul tema si è espresso anche </w:t>
      </w:r>
      <w:r w:rsidR="00804BF6">
        <w:t>i</w:t>
      </w:r>
      <w:r>
        <w:t xml:space="preserve">l giudice amministrativo, nella sentenza del Tar del Lazio n. 7868 del 18 settembre 2012, ha ritenuto che l’art. 3 comma 16 della Legge 94/2009 contiene </w:t>
      </w:r>
      <w:r w:rsidRPr="00C8727D">
        <w:rPr>
          <w:i/>
          <w:iCs/>
        </w:rPr>
        <w:t>“una previsione che in via ordinaria, ed a prescindere dalla sussistenza di esigenze contingibili ed urgenti, attribuisce uno specifico potere al Sindaco, ossia di disporre la chiusura dell’esercizio per il tempo ivi indicato, nella ricorrenza dei relativi presupposti”;</w:t>
      </w:r>
    </w:p>
    <w:p w14:paraId="0D3B84A7" w14:textId="11E69A8A" w:rsidR="000661C2" w:rsidRDefault="00C8727D" w:rsidP="00C8727D">
      <w:pPr>
        <w:jc w:val="both"/>
      </w:pPr>
      <w:r>
        <w:t xml:space="preserve">Infine, si segnalano, a conferma della legittimità di questa </w:t>
      </w:r>
      <w:r w:rsidR="00693494">
        <w:t>procedura, gli</w:t>
      </w:r>
      <w:r>
        <w:t xml:space="preserve"> ulteriori successivi pronunciamenti con i quali il Consiglio di Stato ha chiaramente riconosciuto e avallato la legittimità della procedura prevista d</w:t>
      </w:r>
      <w:r w:rsidR="00693494">
        <w:t>a</w:t>
      </w:r>
      <w:r>
        <w:t>lla Legge 94/2009 (cfr. inter alia le sentenze nn° 1611/2015 e 1622/2015).</w:t>
      </w:r>
    </w:p>
    <w:p w14:paraId="1ED852BB" w14:textId="34A412F8" w:rsidR="00BC30FA" w:rsidRDefault="00A51512" w:rsidP="00A51512">
      <w:pPr>
        <w:jc w:val="both"/>
      </w:pPr>
      <w:r>
        <w:t>Con il prossimo approfondimento analizzeremo tutte le fasi per attuare la procedura, proponendo anche degli schemi di provvedimenti da adottare.</w:t>
      </w:r>
    </w:p>
    <w:sectPr w:rsidR="00BC30F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D239B"/>
    <w:multiLevelType w:val="hybridMultilevel"/>
    <w:tmpl w:val="97BA607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DE1BC9"/>
    <w:multiLevelType w:val="hybridMultilevel"/>
    <w:tmpl w:val="97BA6076"/>
    <w:lvl w:ilvl="0" w:tplc="D99CF0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A17A09"/>
    <w:multiLevelType w:val="hybridMultilevel"/>
    <w:tmpl w:val="E5F21C6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254393"/>
    <w:multiLevelType w:val="hybridMultilevel"/>
    <w:tmpl w:val="B80AED6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356206">
    <w:abstractNumId w:val="3"/>
  </w:num>
  <w:num w:numId="2" w16cid:durableId="1252468130">
    <w:abstractNumId w:val="1"/>
  </w:num>
  <w:num w:numId="3" w16cid:durableId="394200691">
    <w:abstractNumId w:val="0"/>
  </w:num>
  <w:num w:numId="4" w16cid:durableId="1662463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91"/>
    <w:rsid w:val="000661C2"/>
    <w:rsid w:val="00106A42"/>
    <w:rsid w:val="001F3E1A"/>
    <w:rsid w:val="0021492E"/>
    <w:rsid w:val="0029152D"/>
    <w:rsid w:val="002D75B6"/>
    <w:rsid w:val="002F3C67"/>
    <w:rsid w:val="00386791"/>
    <w:rsid w:val="004F503C"/>
    <w:rsid w:val="00512A71"/>
    <w:rsid w:val="00577A5B"/>
    <w:rsid w:val="0059635F"/>
    <w:rsid w:val="00693494"/>
    <w:rsid w:val="00804BF6"/>
    <w:rsid w:val="00A42B63"/>
    <w:rsid w:val="00A51512"/>
    <w:rsid w:val="00A54EDF"/>
    <w:rsid w:val="00B1756F"/>
    <w:rsid w:val="00BC30FA"/>
    <w:rsid w:val="00C8727D"/>
    <w:rsid w:val="00C91798"/>
    <w:rsid w:val="00CE1BF1"/>
    <w:rsid w:val="00F36897"/>
    <w:rsid w:val="00F47671"/>
    <w:rsid w:val="00F8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9ABD1"/>
  <w15:chartTrackingRefBased/>
  <w15:docId w15:val="{773D836A-85C7-4060-B6A6-21B7537A3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04B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Merciari</cp:lastModifiedBy>
  <cp:revision>13</cp:revision>
  <dcterms:created xsi:type="dcterms:W3CDTF">2024-02-11T16:06:00Z</dcterms:created>
  <dcterms:modified xsi:type="dcterms:W3CDTF">2024-02-18T15:42:00Z</dcterms:modified>
</cp:coreProperties>
</file>