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3FE3A" w14:textId="7EBA9742" w:rsidR="00523B0E" w:rsidRDefault="00523B0E">
      <w:pPr>
        <w:rPr>
          <w:rFonts w:cstheme="minorHAnsi"/>
        </w:rPr>
      </w:pPr>
      <w:r>
        <w:t xml:space="preserve">Titolo: </w:t>
      </w:r>
      <w:r w:rsidR="00812EBB">
        <w:rPr>
          <w:rFonts w:cstheme="minorHAnsi"/>
        </w:rPr>
        <w:t>pubblicato l’osservatorio sulle comunicazioni di AGCOM numero 1/2024</w:t>
      </w:r>
    </w:p>
    <w:p w14:paraId="644BAC0E" w14:textId="77777777" w:rsidR="008C6EC0" w:rsidRDefault="00523B0E">
      <w:pPr>
        <w:rPr>
          <w:rFonts w:cstheme="minorHAnsi"/>
        </w:rPr>
      </w:pPr>
      <w:r>
        <w:rPr>
          <w:rFonts w:cstheme="minorHAnsi"/>
        </w:rPr>
        <w:t>Di Alessandro Merciari</w:t>
      </w:r>
    </w:p>
    <w:p w14:paraId="59989AC0" w14:textId="3B773C9D" w:rsidR="00812EBB" w:rsidRDefault="00812EBB" w:rsidP="00E84B19">
      <w:pPr>
        <w:jc w:val="both"/>
        <w:rPr>
          <w:rFonts w:cstheme="minorHAnsi"/>
        </w:rPr>
      </w:pPr>
      <w:r>
        <w:rPr>
          <w:rFonts w:cstheme="minorHAnsi"/>
        </w:rPr>
        <w:t xml:space="preserve">Nell’ambito </w:t>
      </w:r>
      <w:r w:rsidR="006A4B99">
        <w:rPr>
          <w:rFonts w:cstheme="minorHAnsi"/>
        </w:rPr>
        <w:t xml:space="preserve">dei controlli </w:t>
      </w:r>
      <w:r w:rsidR="00A35C07">
        <w:rPr>
          <w:rFonts w:cstheme="minorHAnsi"/>
        </w:rPr>
        <w:t>necessari</w:t>
      </w:r>
      <w:r w:rsidR="00D17B4E">
        <w:rPr>
          <w:rFonts w:cstheme="minorHAnsi"/>
        </w:rPr>
        <w:t xml:space="preserve"> da </w:t>
      </w:r>
      <w:r w:rsidR="006A4B99">
        <w:rPr>
          <w:rFonts w:cstheme="minorHAnsi"/>
        </w:rPr>
        <w:t>parte degli uffici entrate di Comuni e Province sulla</w:t>
      </w:r>
      <w:r>
        <w:rPr>
          <w:rFonts w:cstheme="minorHAnsi"/>
        </w:rPr>
        <w:t xml:space="preserve"> corretta </w:t>
      </w:r>
      <w:r w:rsidR="006A4B99">
        <w:rPr>
          <w:rFonts w:cstheme="minorHAnsi"/>
        </w:rPr>
        <w:t>liquidazione</w:t>
      </w:r>
      <w:r>
        <w:rPr>
          <w:rFonts w:cstheme="minorHAnsi"/>
        </w:rPr>
        <w:t xml:space="preserve"> del Canone per i servizi di rete </w:t>
      </w:r>
      <w:r w:rsidR="006A4B99">
        <w:rPr>
          <w:rFonts w:cstheme="minorHAnsi"/>
        </w:rPr>
        <w:t xml:space="preserve">di cui al </w:t>
      </w:r>
      <w:r>
        <w:rPr>
          <w:rFonts w:cstheme="minorHAnsi"/>
        </w:rPr>
        <w:t xml:space="preserve">comma 831, articolo 1 della Legge 160/2019, riveste particolare interesse la pubblicazione trimestrale </w:t>
      </w:r>
      <w:r w:rsidR="006A4B99">
        <w:rPr>
          <w:rFonts w:cstheme="minorHAnsi"/>
        </w:rPr>
        <w:t xml:space="preserve">dell’Osservatorio delle comunicazioni </w:t>
      </w:r>
      <w:r>
        <w:rPr>
          <w:rFonts w:cstheme="minorHAnsi"/>
        </w:rPr>
        <w:t>a cura di AGCOM, l</w:t>
      </w:r>
      <w:r w:rsidRPr="00812EBB">
        <w:rPr>
          <w:rFonts w:cstheme="minorHAnsi"/>
        </w:rPr>
        <w:t>'Autorità indipendente per le Garanzie nelle Comunicazioni</w:t>
      </w:r>
      <w:r w:rsidR="006A4B99">
        <w:rPr>
          <w:rFonts w:cstheme="minorHAnsi"/>
        </w:rPr>
        <w:t>.</w:t>
      </w:r>
    </w:p>
    <w:p w14:paraId="620CFF11" w14:textId="50905F24" w:rsidR="00812EBB" w:rsidRDefault="00812EBB" w:rsidP="00812EBB">
      <w:pPr>
        <w:jc w:val="both"/>
        <w:rPr>
          <w:rFonts w:cstheme="minorHAnsi"/>
        </w:rPr>
      </w:pPr>
      <w:r w:rsidRPr="00812EBB">
        <w:rPr>
          <w:rFonts w:cstheme="minorHAnsi"/>
        </w:rPr>
        <w:t xml:space="preserve">l'Osservatorio Trimestrale sulle Comunicazioni mira </w:t>
      </w:r>
      <w:r w:rsidR="00D17B4E">
        <w:rPr>
          <w:rFonts w:cstheme="minorHAnsi"/>
        </w:rPr>
        <w:t xml:space="preserve">infatti </w:t>
      </w:r>
      <w:r w:rsidRPr="00812EBB">
        <w:rPr>
          <w:rFonts w:cstheme="minorHAnsi"/>
        </w:rPr>
        <w:t>a fornire una visione di sintesi sul quadro congiunturale di tutti i mercati di interesse dell'Autorità. Si articola in sezioni dedicate alle telecomunicazioni, ai media (televisione, radio, internet, editoria quotidiana e periodica), ai servizi postali e di corriere espresso, ed in una sezione riguardante l'andamento dei prezzi al consumo dei servizi di comunicazione.</w:t>
      </w:r>
    </w:p>
    <w:p w14:paraId="6A529FB5" w14:textId="28913107" w:rsidR="00812EBB" w:rsidRDefault="00812EBB" w:rsidP="00812EBB">
      <w:pPr>
        <w:jc w:val="both"/>
        <w:rPr>
          <w:rFonts w:cstheme="minorHAnsi"/>
        </w:rPr>
      </w:pPr>
      <w:r>
        <w:rPr>
          <w:rFonts w:cstheme="minorHAnsi"/>
        </w:rPr>
        <w:t>Ai fini della corretta applicazione del CUP</w:t>
      </w:r>
      <w:r w:rsidR="00A35C07">
        <w:rPr>
          <w:rFonts w:cstheme="minorHAnsi"/>
        </w:rPr>
        <w:t xml:space="preserve"> nel particolare settore delle reti</w:t>
      </w:r>
      <w:r>
        <w:rPr>
          <w:rFonts w:cstheme="minorHAnsi"/>
        </w:rPr>
        <w:t xml:space="preserve">, </w:t>
      </w:r>
      <w:r w:rsidRPr="00812EBB">
        <w:rPr>
          <w:rFonts w:cstheme="minorHAnsi"/>
        </w:rPr>
        <w:t>AGCOM mette a disposizione un set di informazioni</w:t>
      </w:r>
      <w:r>
        <w:rPr>
          <w:rFonts w:cstheme="minorHAnsi"/>
        </w:rPr>
        <w:t xml:space="preserve"> sulle aziende che erogano servizi di </w:t>
      </w:r>
      <w:r w:rsidR="00D17B4E">
        <w:rPr>
          <w:rFonts w:cstheme="minorHAnsi"/>
        </w:rPr>
        <w:t>telefonia</w:t>
      </w:r>
      <w:r>
        <w:rPr>
          <w:rFonts w:cstheme="minorHAnsi"/>
        </w:rPr>
        <w:t>, oltremodo util</w:t>
      </w:r>
      <w:r w:rsidR="00A55003">
        <w:rPr>
          <w:rFonts w:cstheme="minorHAnsi"/>
        </w:rPr>
        <w:t>i</w:t>
      </w:r>
      <w:r>
        <w:rPr>
          <w:rFonts w:cstheme="minorHAnsi"/>
        </w:rPr>
        <w:t xml:space="preserve"> </w:t>
      </w:r>
      <w:r w:rsidR="00A55003">
        <w:rPr>
          <w:rFonts w:cstheme="minorHAnsi"/>
        </w:rPr>
        <w:t>per capire</w:t>
      </w:r>
      <w:r>
        <w:rPr>
          <w:rFonts w:cstheme="minorHAnsi"/>
        </w:rPr>
        <w:t xml:space="preserve"> </w:t>
      </w:r>
      <w:r w:rsidR="00D17B4E">
        <w:rPr>
          <w:rFonts w:cstheme="minorHAnsi"/>
        </w:rPr>
        <w:t xml:space="preserve">lo </w:t>
      </w:r>
      <w:r>
        <w:rPr>
          <w:rFonts w:cstheme="minorHAnsi"/>
        </w:rPr>
        <w:t xml:space="preserve">sviluppo delle reti di telecomunicazione </w:t>
      </w:r>
      <w:r w:rsidR="00A35C07">
        <w:rPr>
          <w:rFonts w:cstheme="minorHAnsi"/>
        </w:rPr>
        <w:t xml:space="preserve">nel nostro Paese </w:t>
      </w:r>
      <w:r>
        <w:rPr>
          <w:rFonts w:cstheme="minorHAnsi"/>
        </w:rPr>
        <w:t>e l</w:t>
      </w:r>
      <w:r w:rsidR="00D17B4E">
        <w:rPr>
          <w:rFonts w:cstheme="minorHAnsi"/>
        </w:rPr>
        <w:t xml:space="preserve">a loro </w:t>
      </w:r>
      <w:r>
        <w:rPr>
          <w:rFonts w:cstheme="minorHAnsi"/>
        </w:rPr>
        <w:t xml:space="preserve"> suddivision</w:t>
      </w:r>
      <w:r w:rsidR="00D17B4E">
        <w:rPr>
          <w:rFonts w:cstheme="minorHAnsi"/>
        </w:rPr>
        <w:t>e</w:t>
      </w:r>
      <w:r>
        <w:rPr>
          <w:rFonts w:cstheme="minorHAnsi"/>
        </w:rPr>
        <w:t xml:space="preserve"> in quote d</w:t>
      </w:r>
      <w:r w:rsidR="00A55003">
        <w:rPr>
          <w:rFonts w:cstheme="minorHAnsi"/>
        </w:rPr>
        <w:t xml:space="preserve">i </w:t>
      </w:r>
      <w:r>
        <w:rPr>
          <w:rFonts w:cstheme="minorHAnsi"/>
        </w:rPr>
        <w:t>mercato</w:t>
      </w:r>
      <w:r w:rsidR="00D17B4E">
        <w:rPr>
          <w:rFonts w:cstheme="minorHAnsi"/>
        </w:rPr>
        <w:t>.</w:t>
      </w:r>
    </w:p>
    <w:p w14:paraId="2008FD05" w14:textId="516F6966" w:rsidR="00812EBB" w:rsidRDefault="00812EBB" w:rsidP="00812EBB">
      <w:pPr>
        <w:jc w:val="both"/>
        <w:rPr>
          <w:rFonts w:cstheme="minorHAnsi"/>
        </w:rPr>
      </w:pPr>
      <w:r>
        <w:rPr>
          <w:rFonts w:cstheme="minorHAnsi"/>
        </w:rPr>
        <w:t>Come noto infatti, il settore delle telecomunicazioni è caratterizzato</w:t>
      </w:r>
      <w:r w:rsidR="00A55003">
        <w:rPr>
          <w:rFonts w:cstheme="minorHAnsi"/>
        </w:rPr>
        <w:t xml:space="preserve"> </w:t>
      </w:r>
      <w:r w:rsidR="00D17B4E">
        <w:rPr>
          <w:rFonts w:cstheme="minorHAnsi"/>
        </w:rPr>
        <w:t>dalla condivisione</w:t>
      </w:r>
      <w:r w:rsidR="00A55003">
        <w:rPr>
          <w:rFonts w:cstheme="minorHAnsi"/>
        </w:rPr>
        <w:t xml:space="preserve"> delle reti da parte dei diversi competitors, condizione che crea i presupposti per la formazione della cosiddetta “soggettività passiva in via mediata”.</w:t>
      </w:r>
    </w:p>
    <w:p w14:paraId="0C7AEB07" w14:textId="406B0B49" w:rsidR="00C64464" w:rsidRDefault="00A55003" w:rsidP="00C64464">
      <w:pPr>
        <w:jc w:val="both"/>
      </w:pPr>
      <w:r>
        <w:t xml:space="preserve">I diversi </w:t>
      </w:r>
      <w:r w:rsidR="00C64464">
        <w:t>operatori</w:t>
      </w:r>
      <w:r>
        <w:t xml:space="preserve"> infatti </w:t>
      </w:r>
      <w:r w:rsidR="00C64464">
        <w:t xml:space="preserve">utilizzano le reti </w:t>
      </w:r>
      <w:r>
        <w:t xml:space="preserve">proprie ed </w:t>
      </w:r>
      <w:r w:rsidR="00C64464">
        <w:t>altrui mediante collegamenti tecnologici quali ad esempio VULA (Virtual Unbundled Local Access), NGA (Next Generetion Access) e SLU (Sub Loop Unbundling) ovvero tutte quelle modalità che gli operatori di rete hanno a disposizione per accedere alla rete dell'operatore concessionato</w:t>
      </w:r>
      <w:r w:rsidR="0094109F">
        <w:t xml:space="preserve">, realizzando </w:t>
      </w:r>
      <w:r>
        <w:t xml:space="preserve">come detto </w:t>
      </w:r>
      <w:r w:rsidR="0094109F">
        <w:t xml:space="preserve">l’unica ipotesi oggi </w:t>
      </w:r>
      <w:r w:rsidR="00D90FAE">
        <w:t xml:space="preserve">veramente </w:t>
      </w:r>
      <w:r w:rsidR="0094109F">
        <w:t xml:space="preserve">realizzabile di </w:t>
      </w:r>
      <w:r w:rsidR="0094109F" w:rsidRPr="0094109F">
        <w:rPr>
          <w:i/>
          <w:iCs/>
        </w:rPr>
        <w:t>soggettività passiva in via mediata</w:t>
      </w:r>
      <w:r w:rsidR="0094109F">
        <w:rPr>
          <w:i/>
          <w:iCs/>
        </w:rPr>
        <w:t>.</w:t>
      </w:r>
    </w:p>
    <w:p w14:paraId="22C69C2F" w14:textId="6802BCE0" w:rsidR="00021D8C" w:rsidRDefault="00A35C07" w:rsidP="00E84B19">
      <w:pPr>
        <w:jc w:val="both"/>
      </w:pPr>
      <w:r>
        <w:t xml:space="preserve">I </w:t>
      </w:r>
      <w:r w:rsidR="003F2A29">
        <w:t xml:space="preserve">comuni devono </w:t>
      </w:r>
      <w:r>
        <w:t xml:space="preserve">necessariamente </w:t>
      </w:r>
      <w:r w:rsidR="003F2A29">
        <w:t xml:space="preserve">avviare </w:t>
      </w:r>
      <w:r>
        <w:t xml:space="preserve">l’attività di accertamento </w:t>
      </w:r>
      <w:r w:rsidR="003F2A29">
        <w:t>per il rispetto delle disposizioni contenute nel comma 831</w:t>
      </w:r>
      <w:r>
        <w:t xml:space="preserve">. Ormai è chiaro. Questa attività peraltro è </w:t>
      </w:r>
      <w:r w:rsidR="003F2A29">
        <w:t>avvallat</w:t>
      </w:r>
      <w:r>
        <w:t>a</w:t>
      </w:r>
      <w:r w:rsidR="003F2A29">
        <w:t xml:space="preserve"> dalla recente giurisprudenza</w:t>
      </w:r>
      <w:r w:rsidR="00D17B4E">
        <w:t xml:space="preserve"> che </w:t>
      </w:r>
      <w:r>
        <w:t xml:space="preserve">ha </w:t>
      </w:r>
      <w:r w:rsidR="00D17B4E">
        <w:t>riconosc</w:t>
      </w:r>
      <w:r>
        <w:t>iuto</w:t>
      </w:r>
      <w:r w:rsidR="00D17B4E">
        <w:t xml:space="preserve"> </w:t>
      </w:r>
      <w:r>
        <w:t>nei confronti di tutte</w:t>
      </w:r>
      <w:r w:rsidR="00861A89">
        <w:t xml:space="preserve"> le</w:t>
      </w:r>
      <w:r w:rsidR="00D17B4E">
        <w:t xml:space="preserve"> compagnie telefoniche la soggettività passiva in via mediata</w:t>
      </w:r>
      <w:r>
        <w:t>. Tuttavia, i</w:t>
      </w:r>
      <w:r w:rsidR="003F2A29">
        <w:t>n assenza di dichiarazioni da parte dei diversi operatori telefonici presenti sul territorio comunale di competenza,</w:t>
      </w:r>
      <w:r w:rsidR="00861A89">
        <w:t xml:space="preserve"> e</w:t>
      </w:r>
      <w:r w:rsidR="003F2A29">
        <w:t xml:space="preserve"> </w:t>
      </w:r>
      <w:r w:rsidR="00861A89">
        <w:t>senza</w:t>
      </w:r>
      <w:r w:rsidR="003F2A29">
        <w:t xml:space="preserve"> dati puntuali sulle utenze attive per ciascuna compagnia, gli uffici </w:t>
      </w:r>
      <w:r>
        <w:t xml:space="preserve">non possiedono elementi certi per produrre i calcoli da riportare nei provvedimenti, ecco quindi che </w:t>
      </w:r>
      <w:r w:rsidR="003F2A29">
        <w:t xml:space="preserve">potranno legittimamente fare affidamento sui dati ufficiali comunicati da AGCOM per mezzo della pubblicazione </w:t>
      </w:r>
      <w:r w:rsidR="00861A89">
        <w:t>dell’Osservatorio sulle telecomunicazioni.</w:t>
      </w:r>
      <w:r>
        <w:t xml:space="preserve"> Dati aggregati che mostrano come nel Paese è sviluppata la concorrenza tra i diversi competetor della telefonia e della trasmissione dati.</w:t>
      </w:r>
    </w:p>
    <w:p w14:paraId="1618733F" w14:textId="0539251A" w:rsidR="00861A89" w:rsidRDefault="00861A89" w:rsidP="00E84B19">
      <w:pPr>
        <w:jc w:val="both"/>
      </w:pPr>
      <w:r>
        <w:t xml:space="preserve">In data 29 aprile 2024 </w:t>
      </w:r>
      <w:r w:rsidR="00A35C07">
        <w:t xml:space="preserve">è stato </w:t>
      </w:r>
      <w:r>
        <w:t>pubblicato l’ultimo osservatorio</w:t>
      </w:r>
      <w:r w:rsidR="00A35C07">
        <w:t xml:space="preserve"> utile</w:t>
      </w:r>
      <w:r>
        <w:t xml:space="preserve">, il numero 1/2024, riportante le quote di mercato </w:t>
      </w:r>
      <w:r w:rsidR="00A35C07">
        <w:t xml:space="preserve">calcolate </w:t>
      </w:r>
      <w:r w:rsidR="001A1C37">
        <w:t xml:space="preserve">al 31 dicembre 2023, </w:t>
      </w:r>
      <w:r>
        <w:t>relative l</w:t>
      </w:r>
      <w:r w:rsidR="001A1C37">
        <w:t>e utenze di</w:t>
      </w:r>
      <w:r>
        <w:t xml:space="preserve"> telefonia fissa,</w:t>
      </w:r>
      <w:r w:rsidR="001A1C37">
        <w:t xml:space="preserve"> per complessivi </w:t>
      </w:r>
      <w:r>
        <w:t xml:space="preserve"> </w:t>
      </w:r>
      <w:r w:rsidR="001A1C37">
        <w:t>19,78 milioni di utenze collegate alla rete.</w:t>
      </w:r>
    </w:p>
    <w:p w14:paraId="5F3997F4" w14:textId="1A3F37AF" w:rsidR="001A1C37" w:rsidRDefault="001A1C37" w:rsidP="00A35C07">
      <w:pPr>
        <w:jc w:val="both"/>
      </w:pPr>
      <w:r>
        <w:t>Nell’osservatorio si conferma l’andamento delle quote di mercato che vede una progressiva emorragia di utenze da TIM verso i principali competitors, Vodafone, WindTre e Fastweb, ma anche verso Tiscali, Eolo e Sky Italia.</w:t>
      </w:r>
    </w:p>
    <w:p w14:paraId="1294EA41" w14:textId="3F3F197E" w:rsidR="001A1C37" w:rsidRDefault="001A1C37" w:rsidP="001A1C37">
      <w:r>
        <w:t>In particolare a dicembre 2023, TIM det</w:t>
      </w:r>
      <w:r w:rsidR="00A35C07">
        <w:t>eneva</w:t>
      </w:r>
      <w:r>
        <w:t xml:space="preserve"> il 39,7%, mentre Vodafone il 15,9%, WindTre il 13,9%, Fastweb il 13,8%. Quattro compagnie primarie del settore telefonia che si spartiscono oltre 16 milioni di linee telefoniche corrispondenti all’83% del mercato complessivo.</w:t>
      </w:r>
    </w:p>
    <w:p w14:paraId="39C81C25" w14:textId="456B7FA8" w:rsidR="001A1C37" w:rsidRDefault="001A1C37" w:rsidP="001A1C37">
      <w:r>
        <w:t xml:space="preserve">Quante di queste utenze finiscono nei calcoli del CUP a favore di Comuni e </w:t>
      </w:r>
      <w:r w:rsidR="00D743B1">
        <w:t>Province in</w:t>
      </w:r>
      <w:r>
        <w:t xml:space="preserve"> base alle tariffe fissate dal comma 831?</w:t>
      </w:r>
    </w:p>
    <w:p w14:paraId="09CC2361" w14:textId="46AC6216" w:rsidR="00D461C3" w:rsidRDefault="00D461C3" w:rsidP="001A1C37">
      <w:r>
        <w:t xml:space="preserve">È facile dimostrare come almeno la metà di queste utenze non vengono dichiarate da quelle compagnie che non accettano il ruolo di soggetto passivo in via mediato. </w:t>
      </w:r>
    </w:p>
    <w:p w14:paraId="2F333C14" w14:textId="0CCD43A7" w:rsidR="00DF3046" w:rsidRDefault="00DF3046" w:rsidP="00DF3046">
      <w:pPr>
        <w:jc w:val="both"/>
      </w:pPr>
      <w:r>
        <w:t>Da una</w:t>
      </w:r>
      <w:r>
        <w:t xml:space="preserve"> </w:t>
      </w:r>
      <w:r>
        <w:t>parte troviamo le società proprietarie delle infrastrutture, titolari delle concessioni di suolo</w:t>
      </w:r>
      <w:r>
        <w:t xml:space="preserve"> </w:t>
      </w:r>
      <w:r>
        <w:t>pubblico, che stanno pagando il canone solo per le proprie utenze interpretando la norma in un</w:t>
      </w:r>
      <w:r>
        <w:t xml:space="preserve"> </w:t>
      </w:r>
      <w:r>
        <w:t>certo modo, dando quindi valore al concetto di soggettività passiva in via mediata, dall'altra</w:t>
      </w:r>
      <w:r>
        <w:t xml:space="preserve"> </w:t>
      </w:r>
      <w:r>
        <w:t>invece le diverse compagnie telefoniche che utilizzano in via mediata le reti della società</w:t>
      </w:r>
      <w:r>
        <w:t xml:space="preserve"> </w:t>
      </w:r>
      <w:r>
        <w:t>concessionaria che invece ritengono di esserne escluse, invocando il criterio previsto dalla norma</w:t>
      </w:r>
      <w:r>
        <w:t xml:space="preserve"> </w:t>
      </w:r>
      <w:r>
        <w:t>di interpretazione autentica. In mezzo, a farne le spese, troviamo gli enti territoriali, che hanno</w:t>
      </w:r>
      <w:r>
        <w:t xml:space="preserve"> </w:t>
      </w:r>
      <w:r>
        <w:t>visto il loro gettito più che dimezzato rispetto a qualsiasi previsione.</w:t>
      </w:r>
    </w:p>
    <w:p w14:paraId="330A9945" w14:textId="343C677F" w:rsidR="00D461C3" w:rsidRDefault="00D461C3" w:rsidP="00DF3046">
      <w:pPr>
        <w:jc w:val="both"/>
      </w:pPr>
      <w:r>
        <w:t xml:space="preserve">Come fare allora a tutelare gli interessi degli oltre 8.000 comuni? L’unica strada che sembra percorribile è quella dell’attività di accertamento, con la notifica di provvedimenti con i quali contestare il mancato </w:t>
      </w:r>
      <w:r>
        <w:lastRenderedPageBreak/>
        <w:t>versamento, e la mancata dichiarazione, delle utenze attive al 31 dicembre dell’anno precedente, a partire dal 2021 fino all’anno 202</w:t>
      </w:r>
      <w:r w:rsidR="00DF3046">
        <w:t>3</w:t>
      </w:r>
      <w:r>
        <w:t xml:space="preserve"> </w:t>
      </w:r>
      <w:r w:rsidR="00DF3046">
        <w:t>i cui dati sono stati, come detto, pubblicati lo scorso aprile</w:t>
      </w:r>
      <w:r>
        <w:t>.</w:t>
      </w:r>
    </w:p>
    <w:p w14:paraId="18908EB5" w14:textId="6F357245" w:rsidR="00D461C3" w:rsidRDefault="00D461C3" w:rsidP="00D461C3">
      <w:pPr>
        <w:jc w:val="both"/>
      </w:pPr>
      <w:r>
        <w:t>Il calcolo a cui fare riferimento per la notifica dell’Avviso di accertamento, si baserà proprio sui dati aggregati forniti da AGCOM</w:t>
      </w:r>
      <w:r w:rsidR="000D1C89">
        <w:t xml:space="preserve"> sulle quote di mercato</w:t>
      </w:r>
      <w:r>
        <w:t xml:space="preserve">, partendo dal dato </w:t>
      </w:r>
      <w:r w:rsidR="000D1C89">
        <w:t xml:space="preserve">certo e </w:t>
      </w:r>
      <w:r>
        <w:t>conosciuto corrispondente al soggetto concessionario della rete che dichiara e versa il canone in base alle sole proprie utenze attive. Il calcolo</w:t>
      </w:r>
      <w:r w:rsidR="000D1C89">
        <w:t xml:space="preserve">, ottenuto rapportando il valore dichiarato da TIM </w:t>
      </w:r>
      <w:r w:rsidR="00065541">
        <w:t xml:space="preserve">(storicamente il soggetto titolare della rete) </w:t>
      </w:r>
      <w:r w:rsidR="000D1C89">
        <w:t>e rapportato alle quote di mercato di ciascuna compagnia telefonica,</w:t>
      </w:r>
      <w:r>
        <w:t xml:space="preserve"> dovrà anche tenere conto dell’importo minimo di pagamento </w:t>
      </w:r>
      <w:r w:rsidR="000D1C89">
        <w:t xml:space="preserve">del canone </w:t>
      </w:r>
      <w:r>
        <w:t>fissato dal Legislatore</w:t>
      </w:r>
      <w:r w:rsidR="000D1C89">
        <w:t xml:space="preserve">. </w:t>
      </w:r>
      <w:r>
        <w:t xml:space="preserve"> </w:t>
      </w:r>
      <w:r w:rsidR="000D1C89">
        <w:t>P</w:t>
      </w:r>
      <w:r>
        <w:t>er il primo anno</w:t>
      </w:r>
      <w:r w:rsidR="000D1C89">
        <w:t xml:space="preserve"> venne </w:t>
      </w:r>
      <w:r w:rsidR="00065541">
        <w:t>determinato in</w:t>
      </w:r>
      <w:r>
        <w:t xml:space="preserve"> Euro 800, </w:t>
      </w:r>
      <w:r w:rsidR="000D1C89">
        <w:t xml:space="preserve">dopodiché è stato </w:t>
      </w:r>
      <w:r>
        <w:t xml:space="preserve">aggiornato per </w:t>
      </w:r>
      <w:r w:rsidR="000D1C89">
        <w:t>ciascuno de</w:t>
      </w:r>
      <w:r>
        <w:t xml:space="preserve">gli anni successivi in base all’indice Istat. </w:t>
      </w:r>
    </w:p>
    <w:p w14:paraId="2F7BF34E" w14:textId="5511DAE0" w:rsidR="009D1BE3" w:rsidRDefault="009D1BE3" w:rsidP="00D461C3">
      <w:pPr>
        <w:jc w:val="both"/>
      </w:pPr>
      <w:r>
        <w:t xml:space="preserve">L’avviso di accertamento </w:t>
      </w:r>
      <w:r w:rsidR="00065541">
        <w:t xml:space="preserve">così calcolato, </w:t>
      </w:r>
      <w:r>
        <w:t>conterrà nella sezione della motivazione</w:t>
      </w:r>
      <w:r w:rsidR="00065541">
        <w:t>, la descrizione del</w:t>
      </w:r>
      <w:r>
        <w:t xml:space="preserve"> criterio adottato dall’ufficio per la liquidazione del dovuto. Un criterio induttivo resosi</w:t>
      </w:r>
      <w:r w:rsidR="00065541">
        <w:t>, come detto,</w:t>
      </w:r>
      <w:r>
        <w:t xml:space="preserve"> necessario in assenza di dichiarazioni da parte dei soggetti passivi, ancorché in via mediata.</w:t>
      </w:r>
    </w:p>
    <w:p w14:paraId="5FBF2E84" w14:textId="3C664001" w:rsidR="009D1BE3" w:rsidRDefault="009D1BE3" w:rsidP="00D461C3">
      <w:pPr>
        <w:jc w:val="both"/>
      </w:pPr>
      <w:r>
        <w:t>Come già chiarito nel precedente approfondimento, l</w:t>
      </w:r>
      <w:r w:rsidR="00956A06">
        <w:t xml:space="preserve">’orientamento </w:t>
      </w:r>
      <w:r>
        <w:t>giurisprudenz</w:t>
      </w:r>
      <w:r w:rsidR="00956A06">
        <w:t>iale</w:t>
      </w:r>
      <w:r>
        <w:t xml:space="preserve"> che si sta formando in relazione ai provvedimenti emessi sulla base di questo criterio</w:t>
      </w:r>
      <w:r w:rsidR="00956A06">
        <w:t xml:space="preserve"> induttivo</w:t>
      </w:r>
      <w:r>
        <w:t xml:space="preserve">, sta sposando </w:t>
      </w:r>
      <w:r w:rsidR="00956A06">
        <w:t xml:space="preserve">totalmente </w:t>
      </w:r>
      <w:r>
        <w:t>la linea adottata dai Comuni, riconoscendo inequivocabilmente il ruolo di soggetto passivo a tutte le corporate che operano sul mercato delle telecomunicazioni.</w:t>
      </w:r>
    </w:p>
    <w:p w14:paraId="2B02E139" w14:textId="7BA3D7D1" w:rsidR="009D1BE3" w:rsidRDefault="009D1BE3" w:rsidP="00D461C3">
      <w:pPr>
        <w:jc w:val="both"/>
      </w:pPr>
      <w:r>
        <w:t xml:space="preserve">Grazie ai dati contenuti negli osservatori del  2022, 2023 e 2024 pubblicati nel mese di aprile di ciascun anno, si potrà </w:t>
      </w:r>
      <w:r w:rsidR="00956A06">
        <w:t xml:space="preserve">pertanto </w:t>
      </w:r>
      <w:r>
        <w:t xml:space="preserve">procedere  alla verifica  e alla conseguente attività di  accertamento applicando il criterio induttivo rispettivamente per gli anni 2021, 2022 e 2023. </w:t>
      </w:r>
      <w:r w:rsidR="00D55157">
        <w:t>Un’attività</w:t>
      </w:r>
      <w:r>
        <w:t xml:space="preserve"> che riporterà equità, corretta applicazione e benefici economici agli enti locali</w:t>
      </w:r>
      <w:r w:rsidR="00CF1D9A">
        <w:t xml:space="preserve">, </w:t>
      </w:r>
      <w:r>
        <w:t>troppo spesso danneggiat</w:t>
      </w:r>
      <w:r w:rsidR="00CF1D9A">
        <w:t>i</w:t>
      </w:r>
      <w:r>
        <w:t xml:space="preserve"> dalle posizioni </w:t>
      </w:r>
      <w:r w:rsidR="00CF1D9A">
        <w:t>tenute dalle principali compagnie telefoniche.</w:t>
      </w:r>
      <w:r>
        <w:t xml:space="preserve"> </w:t>
      </w:r>
    </w:p>
    <w:p w14:paraId="74B266FE" w14:textId="2C29D0EC" w:rsidR="00234308" w:rsidRDefault="00234308" w:rsidP="00D461C3">
      <w:pPr>
        <w:jc w:val="both"/>
      </w:pPr>
      <w:r>
        <w:t>Riportiamo quindi le quote di mercato delle principali compagnie</w:t>
      </w:r>
      <w:r w:rsidR="001108E0">
        <w:t xml:space="preserve"> che si spartiscono le quasi 20 milioni di utenze attive,</w:t>
      </w:r>
      <w:r>
        <w:t xml:space="preserve"> aggiornate con l’ultimo osservatorio recentemente pubblicato</w:t>
      </w:r>
      <w:r w:rsidR="0078266E">
        <w:t>, che saranno utilizzate per calcolare il dovuto</w:t>
      </w:r>
      <w:r w:rsidR="001108E0">
        <w:t xml:space="preserve"> da ciascuna realtà locale</w:t>
      </w:r>
      <w:r w:rsidR="0078266E">
        <w:t>.</w:t>
      </w:r>
    </w:p>
    <w:p w14:paraId="34E44C6F" w14:textId="34F75542" w:rsidR="00234308" w:rsidRDefault="00234308" w:rsidP="00D461C3">
      <w:pPr>
        <w:jc w:val="both"/>
      </w:pPr>
      <w:r>
        <w:t xml:space="preserve">TIM </w:t>
      </w:r>
      <w:r>
        <w:tab/>
      </w:r>
      <w:r>
        <w:tab/>
        <w:t>4</w:t>
      </w:r>
      <w:r w:rsidR="001249BD">
        <w:t>4</w:t>
      </w:r>
      <w:r>
        <w:t>,</w:t>
      </w:r>
      <w:r w:rsidR="001249BD">
        <w:t>2</w:t>
      </w:r>
      <w:r>
        <w:t>0</w:t>
      </w:r>
      <w:r w:rsidR="001108E0">
        <w:t>%</w:t>
      </w:r>
      <w:r>
        <w:t xml:space="preserve"> (2021) – 4</w:t>
      </w:r>
      <w:r w:rsidR="001249BD">
        <w:t>1</w:t>
      </w:r>
      <w:r>
        <w:t>,</w:t>
      </w:r>
      <w:r w:rsidR="001249BD">
        <w:t>7</w:t>
      </w:r>
      <w:r>
        <w:t>0</w:t>
      </w:r>
      <w:r w:rsidR="001108E0">
        <w:t>%</w:t>
      </w:r>
      <w:r>
        <w:t xml:space="preserve"> (2022)  - 39,70</w:t>
      </w:r>
      <w:r w:rsidR="001108E0">
        <w:t>%</w:t>
      </w:r>
      <w:r>
        <w:t xml:space="preserve"> (2023)</w:t>
      </w:r>
    </w:p>
    <w:p w14:paraId="3E98C8D0" w14:textId="24566DC0" w:rsidR="00234308" w:rsidRDefault="00234308" w:rsidP="00D461C3">
      <w:pPr>
        <w:jc w:val="both"/>
      </w:pPr>
      <w:r>
        <w:t xml:space="preserve">Vodafone </w:t>
      </w:r>
      <w:r>
        <w:tab/>
        <w:t>1</w:t>
      </w:r>
      <w:r w:rsidR="001249BD">
        <w:t>5</w:t>
      </w:r>
      <w:r>
        <w:t>,</w:t>
      </w:r>
      <w:r w:rsidR="001249BD">
        <w:t>8</w:t>
      </w:r>
      <w:r>
        <w:t>0</w:t>
      </w:r>
      <w:r w:rsidR="001108E0">
        <w:t>%</w:t>
      </w:r>
      <w:r>
        <w:t xml:space="preserve"> (2021) – 1</w:t>
      </w:r>
      <w:r w:rsidR="001249BD">
        <w:t>6</w:t>
      </w:r>
      <w:r>
        <w:t>,</w:t>
      </w:r>
      <w:r w:rsidR="001249BD">
        <w:t>3</w:t>
      </w:r>
      <w:r>
        <w:t>0</w:t>
      </w:r>
      <w:r w:rsidR="001108E0">
        <w:t>%</w:t>
      </w:r>
      <w:r>
        <w:t xml:space="preserve"> (2022)  - 15,90</w:t>
      </w:r>
      <w:r w:rsidR="001108E0">
        <w:t>%</w:t>
      </w:r>
      <w:r>
        <w:t xml:space="preserve"> (2023)</w:t>
      </w:r>
    </w:p>
    <w:p w14:paraId="14291B26" w14:textId="5005F42C" w:rsidR="00234308" w:rsidRDefault="00234308" w:rsidP="00234308">
      <w:pPr>
        <w:jc w:val="both"/>
      </w:pPr>
      <w:r>
        <w:t xml:space="preserve">Windtre </w:t>
      </w:r>
      <w:r>
        <w:tab/>
        <w:t>14,00</w:t>
      </w:r>
      <w:r w:rsidR="001108E0">
        <w:t>%</w:t>
      </w:r>
      <w:r>
        <w:t xml:space="preserve"> (2021) – 14,</w:t>
      </w:r>
      <w:r w:rsidR="001249BD">
        <w:t>2</w:t>
      </w:r>
      <w:r>
        <w:t>0</w:t>
      </w:r>
      <w:r w:rsidR="001108E0">
        <w:t>%</w:t>
      </w:r>
      <w:r>
        <w:t xml:space="preserve"> (2022)  - 13,90</w:t>
      </w:r>
      <w:r w:rsidR="001108E0">
        <w:t>%</w:t>
      </w:r>
      <w:r>
        <w:t xml:space="preserve"> (2023)</w:t>
      </w:r>
    </w:p>
    <w:p w14:paraId="785962BD" w14:textId="5D13263F" w:rsidR="00234308" w:rsidRDefault="00234308" w:rsidP="00234308">
      <w:pPr>
        <w:jc w:val="both"/>
      </w:pPr>
      <w:r>
        <w:t>Fastweb</w:t>
      </w:r>
      <w:r>
        <w:tab/>
        <w:t>1</w:t>
      </w:r>
      <w:r w:rsidR="001249BD">
        <w:t>3</w:t>
      </w:r>
      <w:r>
        <w:t>,</w:t>
      </w:r>
      <w:r w:rsidR="001249BD">
        <w:t>8</w:t>
      </w:r>
      <w:r>
        <w:t>0</w:t>
      </w:r>
      <w:r w:rsidR="001108E0">
        <w:t>%</w:t>
      </w:r>
      <w:r>
        <w:t xml:space="preserve"> (2021) – 14,</w:t>
      </w:r>
      <w:r w:rsidR="001249BD">
        <w:t>1</w:t>
      </w:r>
      <w:r>
        <w:t>0</w:t>
      </w:r>
      <w:r w:rsidR="001108E0">
        <w:t>%</w:t>
      </w:r>
      <w:r>
        <w:t xml:space="preserve"> (2022)  - 13,80</w:t>
      </w:r>
      <w:r w:rsidR="001108E0">
        <w:t>%</w:t>
      </w:r>
      <w:r>
        <w:t xml:space="preserve"> (2023)</w:t>
      </w:r>
    </w:p>
    <w:p w14:paraId="51C4AFB5" w14:textId="77777777" w:rsidR="001108E0" w:rsidRDefault="001108E0" w:rsidP="00234308">
      <w:pPr>
        <w:jc w:val="both"/>
      </w:pPr>
    </w:p>
    <w:p w14:paraId="63505D18" w14:textId="385C0968" w:rsidR="001108E0" w:rsidRDefault="001108E0" w:rsidP="00234308">
      <w:pPr>
        <w:jc w:val="both"/>
      </w:pPr>
      <w:r>
        <w:t>Dall’analisi dei dati emerge chiaramente il trend che vede l’ex fornitore universale del servizio, perdere progressivamente utenze, a vantaggio delle 3 concorrenti principali, che mantengono invece una quota di mercato abbastanza costante negli anni, oltre alla presenza di nuovi operatori nazionali e di competitori locali presenti nelle diverse regioni italiane.</w:t>
      </w:r>
    </w:p>
    <w:p w14:paraId="15C1561C" w14:textId="157E7EC0" w:rsidR="001108E0" w:rsidRDefault="001108E0" w:rsidP="00234308">
      <w:pPr>
        <w:jc w:val="both"/>
      </w:pPr>
      <w:r>
        <w:t>Interessante anche la proporzione tra la popolazione complessiva del Paese</w:t>
      </w:r>
      <w:r w:rsidR="00D425FF">
        <w:t>, circa 59 milioni di abitanti,</w:t>
      </w:r>
      <w:r>
        <w:t xml:space="preserve"> e il numero complessive di utenze. Un rapporto di 1 a 3,</w:t>
      </w:r>
      <w:r w:rsidR="00D425FF">
        <w:t xml:space="preserve"> mediamente </w:t>
      </w:r>
      <w:r>
        <w:t>una utenza ogni 3 abitanti</w:t>
      </w:r>
      <w:r w:rsidR="00D425FF">
        <w:t>.</w:t>
      </w:r>
      <w:r>
        <w:t>. Un rapporto che ci deve dare un’idea di massima delle utenze attive nel proprio territorio locale e quindi un’idea del gettito atteso del canone per il servizio di rete della telefonia.</w:t>
      </w:r>
    </w:p>
    <w:p w14:paraId="22D298EE" w14:textId="376D2807" w:rsidR="001108E0" w:rsidRDefault="00047509" w:rsidP="00234308">
      <w:pPr>
        <w:jc w:val="both"/>
      </w:pPr>
      <w:r>
        <w:t xml:space="preserve">Facciamo un esempio: anno 2021, comune di 60.000 abitanti, tariffa fissata in Euro 1,00 ad utenza attiva. Numero utenze attive complessive attese 20.000 circa. Possiamo ipotizzare da </w:t>
      </w:r>
      <w:r w:rsidR="00E04A1E">
        <w:t>TIM una</w:t>
      </w:r>
      <w:r>
        <w:t xml:space="preserve"> dichiarazione per circa 8.800 utenze. Per le 3 maggiori compagnie concorrenti, invece, salvo improbabili dichiarazioni come soggetti passivi in via mediata possiamo attenderci, mal contati </w:t>
      </w:r>
      <w:r w:rsidR="00E04A1E">
        <w:t xml:space="preserve">la presenza di utenze attive per </w:t>
      </w:r>
      <w:r>
        <w:t xml:space="preserve">circa 3.000 utenze per Vodafone e 2.800 per Windtre e per Fastweb. </w:t>
      </w:r>
    </w:p>
    <w:p w14:paraId="571D6BED" w14:textId="4304751D" w:rsidR="00E04A1E" w:rsidRDefault="00047509" w:rsidP="00234308">
      <w:pPr>
        <w:jc w:val="both"/>
      </w:pPr>
      <w:r>
        <w:t xml:space="preserve">Al lato pratico </w:t>
      </w:r>
      <w:r w:rsidR="00E04A1E">
        <w:t xml:space="preserve">tuttavia, </w:t>
      </w:r>
      <w:r>
        <w:t xml:space="preserve">anziché registrare versamenti per Euro 20.000, </w:t>
      </w:r>
      <w:r w:rsidR="00E04A1E">
        <w:t xml:space="preserve">nella stragrande maggioranza dei casi, </w:t>
      </w:r>
      <w:r>
        <w:t>ci troveremo nelle casse dell’ente solo gli importi versati da TIM</w:t>
      </w:r>
      <w:r w:rsidR="00E04A1E">
        <w:t xml:space="preserve"> </w:t>
      </w:r>
      <w:r w:rsidR="0086102C">
        <w:t xml:space="preserve">calcolati </w:t>
      </w:r>
      <w:r w:rsidR="00E04A1E">
        <w:t>per le proprie utenze attive, che a questo punto rappresenteranno la base</w:t>
      </w:r>
      <w:r>
        <w:t xml:space="preserve"> di calcolo reale per procedere alla contestazione </w:t>
      </w:r>
      <w:r w:rsidR="00E04A1E">
        <w:t>nei confronti delle</w:t>
      </w:r>
      <w:r>
        <w:t xml:space="preserve"> altre compagnie </w:t>
      </w:r>
      <w:r w:rsidR="00E04A1E">
        <w:t>che hanno omesso ogni forma di dichiarazione.</w:t>
      </w:r>
    </w:p>
    <w:p w14:paraId="67695034" w14:textId="74007528" w:rsidR="00234308" w:rsidRDefault="00E04A1E" w:rsidP="00234308">
      <w:pPr>
        <w:jc w:val="both"/>
      </w:pPr>
      <w:r>
        <w:t xml:space="preserve">Nel provvedimento </w:t>
      </w:r>
      <w:r w:rsidR="0086102C">
        <w:t xml:space="preserve">in particolare </w:t>
      </w:r>
      <w:r>
        <w:t xml:space="preserve">richiameremo la dichiarazione del soggetto titolare della rete facendo emergere il numero stimato delle utenze dei </w:t>
      </w:r>
      <w:r w:rsidR="0086102C">
        <w:t xml:space="preserve">vari </w:t>
      </w:r>
      <w:r>
        <w:t>competitor utilizzando le percentuali di quota di mercato rilevate dagli osservatori. Resta salva chiaramente la possibilità da parte d</w:t>
      </w:r>
      <w:r w:rsidR="0086102C">
        <w:t xml:space="preserve">elle </w:t>
      </w:r>
      <w:r>
        <w:t xml:space="preserve">Corporate </w:t>
      </w:r>
      <w:r w:rsidR="0086102C">
        <w:t xml:space="preserve">raggiunte dalle richieste di pagamento, </w:t>
      </w:r>
      <w:r>
        <w:t>di correggere le utenze calcolate in modo induttivo</w:t>
      </w:r>
      <w:r w:rsidR="0086102C">
        <w:t>, avanzando una richiesta di rettifica</w:t>
      </w:r>
      <w:r>
        <w:t xml:space="preserve"> </w:t>
      </w:r>
      <w:r w:rsidR="0086102C">
        <w:t>in sede di istanza di autotutela o d</w:t>
      </w:r>
      <w:r w:rsidR="00047509">
        <w:t>i contenzioso</w:t>
      </w:r>
      <w:r w:rsidR="0086102C">
        <w:t>. In ogni caso, l’attività messa in campo dagli uffici dell’ente avrà raggiunto l’obiettivo di riportare in canone tutte le utenze dei servizi di telefonia.</w:t>
      </w:r>
    </w:p>
    <w:p w14:paraId="382C3CE6" w14:textId="77777777" w:rsidR="00234308" w:rsidRDefault="00234308" w:rsidP="00D461C3">
      <w:pPr>
        <w:jc w:val="both"/>
      </w:pPr>
    </w:p>
    <w:sectPr w:rsidR="002343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e Serif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19"/>
    <w:rsid w:val="00021D8C"/>
    <w:rsid w:val="00047509"/>
    <w:rsid w:val="00060149"/>
    <w:rsid w:val="00065541"/>
    <w:rsid w:val="000A34B8"/>
    <w:rsid w:val="000A3C9C"/>
    <w:rsid w:val="000D1C89"/>
    <w:rsid w:val="001108E0"/>
    <w:rsid w:val="001249BD"/>
    <w:rsid w:val="001511DD"/>
    <w:rsid w:val="001A1C37"/>
    <w:rsid w:val="001E3083"/>
    <w:rsid w:val="001F5E44"/>
    <w:rsid w:val="00234308"/>
    <w:rsid w:val="002357DC"/>
    <w:rsid w:val="002D17CC"/>
    <w:rsid w:val="003A4E25"/>
    <w:rsid w:val="003F2A29"/>
    <w:rsid w:val="00481E56"/>
    <w:rsid w:val="00523B0E"/>
    <w:rsid w:val="006141D7"/>
    <w:rsid w:val="00631804"/>
    <w:rsid w:val="006A4B99"/>
    <w:rsid w:val="006C0948"/>
    <w:rsid w:val="006F4C19"/>
    <w:rsid w:val="0078266E"/>
    <w:rsid w:val="007B082A"/>
    <w:rsid w:val="007F7200"/>
    <w:rsid w:val="00812EBB"/>
    <w:rsid w:val="0086102C"/>
    <w:rsid w:val="00861A89"/>
    <w:rsid w:val="00870668"/>
    <w:rsid w:val="008C6EC0"/>
    <w:rsid w:val="008D7AE5"/>
    <w:rsid w:val="0094109F"/>
    <w:rsid w:val="00956A06"/>
    <w:rsid w:val="009D1BE3"/>
    <w:rsid w:val="00A35C07"/>
    <w:rsid w:val="00A55003"/>
    <w:rsid w:val="00C31E94"/>
    <w:rsid w:val="00C64464"/>
    <w:rsid w:val="00CF1D9A"/>
    <w:rsid w:val="00D17B4E"/>
    <w:rsid w:val="00D425FF"/>
    <w:rsid w:val="00D461C3"/>
    <w:rsid w:val="00D55157"/>
    <w:rsid w:val="00D743B1"/>
    <w:rsid w:val="00D90FAE"/>
    <w:rsid w:val="00DF3046"/>
    <w:rsid w:val="00E04A1E"/>
    <w:rsid w:val="00E84B19"/>
    <w:rsid w:val="00FB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1ACC"/>
  <w15:chartTrackingRefBased/>
  <w15:docId w15:val="{C6358930-121A-4D36-A57E-764CFD7A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8C6EC0"/>
    <w:pPr>
      <w:autoSpaceDE w:val="0"/>
      <w:autoSpaceDN w:val="0"/>
      <w:adjustRightInd w:val="0"/>
      <w:spacing w:after="0" w:line="240" w:lineRule="auto"/>
    </w:pPr>
    <w:rPr>
      <w:rFonts w:ascii="Sole Serif Text" w:hAnsi="Sole Serif Text" w:cs="Sole Serif Text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30</cp:revision>
  <dcterms:created xsi:type="dcterms:W3CDTF">2024-05-08T09:25:00Z</dcterms:created>
  <dcterms:modified xsi:type="dcterms:W3CDTF">2024-06-26T09:21:00Z</dcterms:modified>
</cp:coreProperties>
</file>