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A33B" w14:textId="2828B3CA" w:rsidR="00060149" w:rsidRDefault="00432CE8">
      <w:r>
        <w:t xml:space="preserve">Titolo: </w:t>
      </w:r>
      <w:r w:rsidRPr="00432CE8">
        <w:t>sulla giurisdizione del CUP deve pronunciarsi la Corte di Cassazione</w:t>
      </w:r>
    </w:p>
    <w:p w14:paraId="00A073F4" w14:textId="4460EF06" w:rsidR="00432CE8" w:rsidRDefault="00432CE8">
      <w:r>
        <w:t>Di Alessandro Merciari</w:t>
      </w:r>
    </w:p>
    <w:p w14:paraId="31A7301E" w14:textId="77777777" w:rsidR="00432CE8" w:rsidRDefault="00432CE8"/>
    <w:p w14:paraId="3EA247AD" w14:textId="07EE18C0" w:rsidR="00432CE8" w:rsidRDefault="00432CE8" w:rsidP="00063F9D">
      <w:pPr>
        <w:jc w:val="both"/>
      </w:pPr>
      <w:r>
        <w:t xml:space="preserve">Ci siamo occupati più volte </w:t>
      </w:r>
      <w:r w:rsidR="00FD016F">
        <w:t xml:space="preserve">della questione legata alla </w:t>
      </w:r>
      <w:r>
        <w:t>natura delle due</w:t>
      </w:r>
      <w:r w:rsidR="00FD016F">
        <w:t xml:space="preserve"> distinte </w:t>
      </w:r>
      <w:r>
        <w:t xml:space="preserve">componenti del Canone Unico. Fin dal primo anno di applicazione </w:t>
      </w:r>
      <w:r w:rsidR="00FD016F">
        <w:t xml:space="preserve">ci </w:t>
      </w:r>
      <w:r>
        <w:t>interroga</w:t>
      </w:r>
      <w:r w:rsidR="00256289">
        <w:t>mmo</w:t>
      </w:r>
      <w:r>
        <w:t xml:space="preserve"> </w:t>
      </w:r>
      <w:r w:rsidR="0091477F">
        <w:t>se la nuova entrata degli enti locali,</w:t>
      </w:r>
      <w:r>
        <w:t xml:space="preserve"> al di là del </w:t>
      </w:r>
      <w:r w:rsidRPr="00256289">
        <w:rPr>
          <w:i/>
          <w:iCs/>
        </w:rPr>
        <w:t>nome</w:t>
      </w:r>
      <w:r w:rsidR="00256289" w:rsidRPr="00256289">
        <w:rPr>
          <w:i/>
          <w:iCs/>
        </w:rPr>
        <w:t xml:space="preserve">n </w:t>
      </w:r>
      <w:r w:rsidR="0041178C">
        <w:rPr>
          <w:i/>
          <w:iCs/>
        </w:rPr>
        <w:t>i</w:t>
      </w:r>
      <w:r w:rsidR="00256289" w:rsidRPr="00256289">
        <w:rPr>
          <w:i/>
          <w:iCs/>
        </w:rPr>
        <w:t>uris</w:t>
      </w:r>
      <w:r w:rsidR="00256289">
        <w:t xml:space="preserve"> </w:t>
      </w:r>
      <w:r>
        <w:t>attribuito dal Legislatore con il comma 816 della Legge 160/2019</w:t>
      </w:r>
      <w:r w:rsidR="0091477F">
        <w:t>, fosse effettivamente patrimoniale piuttosto che tributaria</w:t>
      </w:r>
      <w:r>
        <w:t>.</w:t>
      </w:r>
    </w:p>
    <w:p w14:paraId="4B707902" w14:textId="77777777" w:rsidR="00F204E4" w:rsidRDefault="00F204E4" w:rsidP="00F204E4">
      <w:pPr>
        <w:jc w:val="both"/>
      </w:pPr>
      <w:r w:rsidRPr="00F204E4">
        <w:t>Il tema è</w:t>
      </w:r>
      <w:r>
        <w:t xml:space="preserve"> certamente</w:t>
      </w:r>
      <w:r w:rsidRPr="00F204E4">
        <w:t xml:space="preserve"> controverso in dottrina e ha formato oggetto di pronunce contrastanti nella</w:t>
      </w:r>
      <w:r>
        <w:t xml:space="preserve"> </w:t>
      </w:r>
      <w:r w:rsidRPr="00F204E4">
        <w:t>giurisprudenza di merito ordinaria, amministrativa e tributaria</w:t>
      </w:r>
      <w:r>
        <w:t>.</w:t>
      </w:r>
    </w:p>
    <w:p w14:paraId="48314CF9" w14:textId="4C3120CA" w:rsidR="0041178C" w:rsidRPr="0041178C" w:rsidRDefault="0041178C" w:rsidP="0041178C">
      <w:pPr>
        <w:jc w:val="both"/>
      </w:pPr>
      <w:r>
        <w:t xml:space="preserve">Tra le diverse posizioni quella della </w:t>
      </w:r>
      <w:r w:rsidRPr="0041178C">
        <w:t>Corte di Giustizia Tributaria di secondo grado della Liguria nella quale si dichiara</w:t>
      </w:r>
      <w:r>
        <w:t>va</w:t>
      </w:r>
      <w:r w:rsidRPr="0041178C">
        <w:t xml:space="preserve"> la giurisdizione del giudice tributario in relazione ad una controversia concernente la diffusione di messaggi pubblicitari realizzati lungo il percorso autostradale che attraversa il territorio comunale. </w:t>
      </w:r>
    </w:p>
    <w:p w14:paraId="74CB9EE7" w14:textId="5D0776E5" w:rsidR="0041178C" w:rsidRDefault="0041178C" w:rsidP="0041178C">
      <w:pPr>
        <w:jc w:val="both"/>
      </w:pPr>
      <w:r w:rsidRPr="0041178C">
        <w:t xml:space="preserve">Secondo il Collegio 3 della CGT della Liguria, nonostante il </w:t>
      </w:r>
      <w:r w:rsidRPr="0041178C">
        <w:rPr>
          <w:i/>
          <w:iCs/>
        </w:rPr>
        <w:t xml:space="preserve">nomen </w:t>
      </w:r>
      <w:r w:rsidRPr="0041178C">
        <w:rPr>
          <w:i/>
          <w:iCs/>
        </w:rPr>
        <w:t>iuris</w:t>
      </w:r>
      <w:r w:rsidRPr="0041178C">
        <w:t>, l’attuale canone, che ha sostituito TOSAP e COSAP per le occupazioni e ICP e CIMP per le diffusioni reclamistiche, si pone, per l’aspetto pubblicitario, in netta continuità con la precedente disciplina dell’Imposta in questione, la cui natura era e continua ad essere tributaria. L’intenzione legislativa sarebbe stata, infatti, quella di mutare denominazione all’imposta, fermi restando i precedenti presupposti, e non istituirne una ex novo.</w:t>
      </w:r>
    </w:p>
    <w:p w14:paraId="3276FDDC" w14:textId="4258D619" w:rsidR="0041178C" w:rsidRDefault="0041178C" w:rsidP="0041178C">
      <w:pPr>
        <w:jc w:val="both"/>
      </w:pPr>
      <w:r w:rsidRPr="0041178C">
        <w:t>Nella sentenza del 24/10/2024 n. 799 i giudici liguri evidenziano come l'entrata si autodefinisca «canone patrimoniale», avente dunque in linea di principio natura non tributaria, tuttavia viene sottolineato come su tale qualificazione, sia la dottrina che la giurisprudenza di merito, abbiano espresso visioni contrastanti e, ad oggi, non risulti ancora giurisprudenza di legittimità.</w:t>
      </w:r>
    </w:p>
    <w:p w14:paraId="1AAB30C2" w14:textId="5E82D490" w:rsidR="00FD0403" w:rsidRDefault="00FD0403" w:rsidP="00F204E4">
      <w:pPr>
        <w:jc w:val="both"/>
        <w:rPr>
          <w:i/>
          <w:iCs/>
        </w:rPr>
      </w:pPr>
      <w:r>
        <w:t xml:space="preserve">Oggi, la Corte di Giustizia Tributaria di Vicenza assume </w:t>
      </w:r>
      <w:r w:rsidR="00BC319F">
        <w:t>l’</w:t>
      </w:r>
      <w:r>
        <w:t>iniziativa</w:t>
      </w:r>
      <w:r w:rsidR="00BC319F">
        <w:t xml:space="preserve"> di</w:t>
      </w:r>
      <w:r>
        <w:t xml:space="preserve"> rivolge</w:t>
      </w:r>
      <w:r w:rsidR="00BC319F">
        <w:t>r</w:t>
      </w:r>
      <w:r w:rsidR="00AA6753">
        <w:t>si proprio</w:t>
      </w:r>
      <w:r>
        <w:t xml:space="preserve"> alla Corte di Cassazione</w:t>
      </w:r>
      <w:r w:rsidR="00AA6753">
        <w:t>, chiedendo</w:t>
      </w:r>
      <w:r>
        <w:t xml:space="preserve"> </w:t>
      </w:r>
      <w:r w:rsidR="00BC319F">
        <w:t>la risoluzione dell</w:t>
      </w:r>
      <w:r>
        <w:t xml:space="preserve">’interrogativo. </w:t>
      </w:r>
      <w:r w:rsidR="00063F9D">
        <w:t>Nel P</w:t>
      </w:r>
      <w:r w:rsidR="0091477F">
        <w:t>.</w:t>
      </w:r>
      <w:r w:rsidR="00063F9D">
        <w:t>Q</w:t>
      </w:r>
      <w:r w:rsidR="0091477F">
        <w:t>.</w:t>
      </w:r>
      <w:r w:rsidR="00063F9D">
        <w:t>M</w:t>
      </w:r>
      <w:r w:rsidR="0091477F">
        <w:t>.</w:t>
      </w:r>
      <w:r w:rsidR="00063F9D">
        <w:t xml:space="preserve"> della sentenza </w:t>
      </w:r>
      <w:r w:rsidR="00BC319F">
        <w:t>emessa</w:t>
      </w:r>
      <w:r w:rsidR="00AA6753">
        <w:t xml:space="preserve"> dai giudici veneti</w:t>
      </w:r>
      <w:r w:rsidR="00BC319F">
        <w:t xml:space="preserve"> </w:t>
      </w:r>
      <w:r w:rsidR="00063F9D">
        <w:t xml:space="preserve">n. 100 del 10/04/2025 si legge: </w:t>
      </w:r>
      <w:r w:rsidR="00063F9D" w:rsidRPr="00063F9D">
        <w:rPr>
          <w:i/>
          <w:iCs/>
        </w:rPr>
        <w:t>“</w:t>
      </w:r>
      <w:r w:rsidR="00063F9D" w:rsidRPr="00063F9D">
        <w:rPr>
          <w:i/>
          <w:iCs/>
        </w:rPr>
        <w:t>Sottopone alla Corte di Cassazione la risoluzione della seguente questione di diritto: "se la</w:t>
      </w:r>
      <w:r w:rsidR="00063F9D" w:rsidRPr="00063F9D">
        <w:rPr>
          <w:i/>
          <w:iCs/>
        </w:rPr>
        <w:t xml:space="preserve"> </w:t>
      </w:r>
      <w:r w:rsidR="00063F9D" w:rsidRPr="00063F9D">
        <w:rPr>
          <w:i/>
          <w:iCs/>
        </w:rPr>
        <w:t>giurisdizione sulla controversia avente ad oggetto l'impugnazione dell'avviso di accertamento</w:t>
      </w:r>
      <w:r w:rsidR="00063F9D" w:rsidRPr="00063F9D">
        <w:rPr>
          <w:i/>
          <w:iCs/>
        </w:rPr>
        <w:t xml:space="preserve"> </w:t>
      </w:r>
      <w:r w:rsidR="00063F9D" w:rsidRPr="00063F9D">
        <w:rPr>
          <w:i/>
          <w:iCs/>
        </w:rPr>
        <w:t>esecutivo concernente il canone patrimoniale di concessione, autorizzazione o esposizione</w:t>
      </w:r>
      <w:r w:rsidR="00063F9D" w:rsidRPr="00063F9D">
        <w:rPr>
          <w:i/>
          <w:iCs/>
        </w:rPr>
        <w:t xml:space="preserve"> </w:t>
      </w:r>
      <w:r w:rsidR="00063F9D" w:rsidRPr="00063F9D">
        <w:rPr>
          <w:i/>
          <w:iCs/>
        </w:rPr>
        <w:t>pubblicitaria e pubbliche affissioni, di cui all'art. 1, commi 816 - 847,L. n. 160 del 2019, spetti</w:t>
      </w:r>
      <w:r w:rsidR="00063F9D" w:rsidRPr="00063F9D">
        <w:rPr>
          <w:i/>
          <w:iCs/>
        </w:rPr>
        <w:t xml:space="preserve"> </w:t>
      </w:r>
      <w:r w:rsidR="00063F9D" w:rsidRPr="00063F9D">
        <w:rPr>
          <w:i/>
          <w:iCs/>
        </w:rPr>
        <w:t>sempre al giudice tributario, ovvero al giudice ordinario, ovvero ancora all'uno o all'altro in base</w:t>
      </w:r>
      <w:r w:rsidR="00063F9D" w:rsidRPr="00063F9D">
        <w:rPr>
          <w:i/>
          <w:iCs/>
        </w:rPr>
        <w:t xml:space="preserve"> </w:t>
      </w:r>
      <w:r w:rsidR="00063F9D" w:rsidRPr="00063F9D">
        <w:rPr>
          <w:i/>
          <w:iCs/>
        </w:rPr>
        <w:t>al contenuto concreto della pretesa";</w:t>
      </w:r>
    </w:p>
    <w:p w14:paraId="54D6AB12" w14:textId="0F17B5E0" w:rsidR="009B3DF6" w:rsidRDefault="00AA6753" w:rsidP="00AA6753">
      <w:pPr>
        <w:jc w:val="both"/>
        <w:rPr>
          <w:i/>
          <w:iCs/>
        </w:rPr>
      </w:pPr>
      <w:r>
        <w:t>la Corte tributaria di Vicenza evidenzia come</w:t>
      </w:r>
      <w:r w:rsidR="005949E5">
        <w:t xml:space="preserve"> si siano formati più indirizzi sulla questione, in particolare sottolinea che</w:t>
      </w:r>
      <w:r>
        <w:t>: “</w:t>
      </w:r>
      <w:r w:rsidRPr="00AA6753">
        <w:rPr>
          <w:i/>
          <w:iCs/>
        </w:rPr>
        <w:t>l</w:t>
      </w:r>
      <w:r w:rsidRPr="00AA6753">
        <w:rPr>
          <w:i/>
          <w:iCs/>
        </w:rPr>
        <w:t>a definizione di "canone patrimoniale", unitamente alla</w:t>
      </w:r>
      <w:r w:rsidRPr="00AA6753">
        <w:rPr>
          <w:i/>
          <w:iCs/>
        </w:rPr>
        <w:t xml:space="preserve"> </w:t>
      </w:r>
      <w:r w:rsidRPr="00AA6753">
        <w:rPr>
          <w:i/>
          <w:iCs/>
        </w:rPr>
        <w:t>constatazione della natura eterogenea</w:t>
      </w:r>
      <w:r w:rsidRPr="00AA6753">
        <w:rPr>
          <w:i/>
          <w:iCs/>
        </w:rPr>
        <w:t xml:space="preserve"> </w:t>
      </w:r>
      <w:r w:rsidRPr="00AA6753">
        <w:rPr>
          <w:i/>
          <w:iCs/>
        </w:rPr>
        <w:t>degli istituti accorpati (la giurisprudenza di nomofilachia riconosceva, ad esempio, la</w:t>
      </w:r>
      <w:r w:rsidRPr="00AA6753">
        <w:rPr>
          <w:i/>
          <w:iCs/>
        </w:rPr>
        <w:t xml:space="preserve"> </w:t>
      </w:r>
      <w:r w:rsidRPr="00AA6753">
        <w:rPr>
          <w:i/>
          <w:iCs/>
        </w:rPr>
        <w:t xml:space="preserve">giurisdizione tributaria per la Tosap, e quella ordinaria per la </w:t>
      </w:r>
      <w:proofErr w:type="spellStart"/>
      <w:r w:rsidRPr="00AA6753">
        <w:rPr>
          <w:i/>
          <w:iCs/>
        </w:rPr>
        <w:t>Cosap</w:t>
      </w:r>
      <w:proofErr w:type="spellEnd"/>
      <w:r w:rsidRPr="00AA6753">
        <w:rPr>
          <w:i/>
          <w:iCs/>
        </w:rPr>
        <w:t xml:space="preserve">; cfr., ex </w:t>
      </w:r>
      <w:proofErr w:type="gramStart"/>
      <w:r w:rsidRPr="00AA6753">
        <w:rPr>
          <w:i/>
          <w:iCs/>
        </w:rPr>
        <w:t>multis,Cass</w:t>
      </w:r>
      <w:proofErr w:type="gramEnd"/>
      <w:r w:rsidRPr="00AA6753">
        <w:rPr>
          <w:i/>
          <w:iCs/>
        </w:rPr>
        <w:t>.25451/2019), ha condotto a differenti orientamenti in punto di giurisdizione.</w:t>
      </w:r>
      <w:r w:rsidRPr="00AA6753">
        <w:rPr>
          <w:i/>
          <w:iCs/>
        </w:rPr>
        <w:t xml:space="preserve"> </w:t>
      </w:r>
    </w:p>
    <w:p w14:paraId="6FFD8FBF" w14:textId="77777777" w:rsidR="009B3DF6" w:rsidRDefault="00AA6753" w:rsidP="00AA6753">
      <w:pPr>
        <w:jc w:val="both"/>
        <w:rPr>
          <w:i/>
          <w:iCs/>
        </w:rPr>
      </w:pPr>
      <w:r w:rsidRPr="00AA6753">
        <w:rPr>
          <w:i/>
          <w:iCs/>
        </w:rPr>
        <w:t xml:space="preserve">Secondo un primo indirizzo (ex </w:t>
      </w:r>
      <w:proofErr w:type="spellStart"/>
      <w:r w:rsidRPr="00AA6753">
        <w:rPr>
          <w:i/>
          <w:iCs/>
        </w:rPr>
        <w:t>multis</w:t>
      </w:r>
      <w:proofErr w:type="spellEnd"/>
      <w:r w:rsidRPr="00AA6753">
        <w:rPr>
          <w:i/>
          <w:iCs/>
        </w:rPr>
        <w:t>, CGT II Friuli V.G. 38/2024; CGT Pordenone 65/2022;</w:t>
      </w:r>
      <w:r w:rsidRPr="00AA6753">
        <w:rPr>
          <w:i/>
          <w:iCs/>
        </w:rPr>
        <w:t xml:space="preserve"> </w:t>
      </w:r>
      <w:r w:rsidRPr="00AA6753">
        <w:rPr>
          <w:i/>
          <w:iCs/>
        </w:rPr>
        <w:t>CGT Reggio Emilia 178/2022; CGT II Liguria 799/</w:t>
      </w:r>
      <w:proofErr w:type="gramStart"/>
      <w:r w:rsidRPr="00AA6753">
        <w:rPr>
          <w:i/>
          <w:iCs/>
        </w:rPr>
        <w:t>2024,TAR</w:t>
      </w:r>
      <w:proofErr w:type="gramEnd"/>
      <w:r w:rsidRPr="00AA6753">
        <w:rPr>
          <w:i/>
          <w:iCs/>
        </w:rPr>
        <w:t xml:space="preserve"> Brescia 576/2023), la giurisdizione</w:t>
      </w:r>
      <w:r w:rsidRPr="00AA6753">
        <w:rPr>
          <w:i/>
          <w:iCs/>
        </w:rPr>
        <w:t xml:space="preserve"> </w:t>
      </w:r>
      <w:r w:rsidRPr="00AA6753">
        <w:rPr>
          <w:i/>
          <w:iCs/>
        </w:rPr>
        <w:t>sul nuovo CUP spetterebbe al giudice tributario, in quanto, al di là del nomen iuris attribuito dal</w:t>
      </w:r>
      <w:r w:rsidRPr="00AA6753">
        <w:rPr>
          <w:i/>
          <w:iCs/>
        </w:rPr>
        <w:t xml:space="preserve"> </w:t>
      </w:r>
      <w:r w:rsidRPr="00AA6753">
        <w:rPr>
          <w:i/>
          <w:iCs/>
        </w:rPr>
        <w:t>legislatore, al canone in questione andrebbe riconosciuta natura sostanziale di tributo.</w:t>
      </w:r>
      <w:r w:rsidRPr="00AA6753">
        <w:rPr>
          <w:i/>
          <w:iCs/>
        </w:rPr>
        <w:t xml:space="preserve"> </w:t>
      </w:r>
    </w:p>
    <w:p w14:paraId="1147BAAE" w14:textId="77777777" w:rsidR="009B3DF6" w:rsidRDefault="00AA6753" w:rsidP="009B3DF6">
      <w:pPr>
        <w:jc w:val="both"/>
      </w:pPr>
      <w:r w:rsidRPr="00AA6753">
        <w:rPr>
          <w:i/>
          <w:iCs/>
        </w:rPr>
        <w:t xml:space="preserve">Un altro orientamento (ex </w:t>
      </w:r>
      <w:proofErr w:type="spellStart"/>
      <w:proofErr w:type="gramStart"/>
      <w:r w:rsidRPr="00AA6753">
        <w:rPr>
          <w:i/>
          <w:iCs/>
        </w:rPr>
        <w:t>multis,TAR</w:t>
      </w:r>
      <w:proofErr w:type="spellEnd"/>
      <w:proofErr w:type="gramEnd"/>
      <w:r w:rsidRPr="00AA6753">
        <w:rPr>
          <w:i/>
          <w:iCs/>
        </w:rPr>
        <w:t xml:space="preserve"> Lazio 3248/2022, </w:t>
      </w:r>
      <w:proofErr w:type="spellStart"/>
      <w:r w:rsidRPr="00AA6753">
        <w:rPr>
          <w:i/>
          <w:iCs/>
        </w:rPr>
        <w:t>Trib</w:t>
      </w:r>
      <w:proofErr w:type="spellEnd"/>
      <w:r w:rsidRPr="00AA6753">
        <w:rPr>
          <w:i/>
          <w:iCs/>
        </w:rPr>
        <w:t xml:space="preserve">. Macerata 902/2023, </w:t>
      </w:r>
      <w:proofErr w:type="spellStart"/>
      <w:r w:rsidRPr="00AA6753">
        <w:rPr>
          <w:i/>
          <w:iCs/>
        </w:rPr>
        <w:t>Trib</w:t>
      </w:r>
      <w:proofErr w:type="spellEnd"/>
      <w:r w:rsidRPr="00AA6753">
        <w:rPr>
          <w:i/>
          <w:iCs/>
        </w:rPr>
        <w:t>. Modena</w:t>
      </w:r>
      <w:r w:rsidRPr="00AA6753">
        <w:rPr>
          <w:i/>
          <w:iCs/>
        </w:rPr>
        <w:t xml:space="preserve"> </w:t>
      </w:r>
      <w:r w:rsidRPr="00AA6753">
        <w:rPr>
          <w:i/>
          <w:iCs/>
        </w:rPr>
        <w:t>41/2025) ritiene invece che la giurisdizione debba radicarsi in capo al giudice ordinario, "in</w:t>
      </w:r>
      <w:r w:rsidRPr="00AA6753">
        <w:rPr>
          <w:i/>
          <w:iCs/>
        </w:rPr>
        <w:t xml:space="preserve"> </w:t>
      </w:r>
      <w:r w:rsidRPr="00AA6753">
        <w:rPr>
          <w:i/>
          <w:iCs/>
        </w:rPr>
        <w:t>quanto trattasi di atti contenenti la quantificazione di mere pretese patrimoniali della Pubblica</w:t>
      </w:r>
      <w:r w:rsidRPr="00AA6753">
        <w:rPr>
          <w:i/>
          <w:iCs/>
        </w:rPr>
        <w:t xml:space="preserve"> </w:t>
      </w:r>
      <w:r w:rsidRPr="00AA6753">
        <w:rPr>
          <w:i/>
          <w:iCs/>
        </w:rPr>
        <w:t>Amministrazione, privi di qualsiasi valenza provvedi mentale" (</w:t>
      </w:r>
      <w:proofErr w:type="spellStart"/>
      <w:r w:rsidRPr="00AA6753">
        <w:rPr>
          <w:i/>
          <w:iCs/>
        </w:rPr>
        <w:t>Trib</w:t>
      </w:r>
      <w:proofErr w:type="spellEnd"/>
      <w:r w:rsidRPr="00AA6753">
        <w:rPr>
          <w:i/>
          <w:iCs/>
        </w:rPr>
        <w:t>. Macerata 902/2023). La tesi</w:t>
      </w:r>
      <w:r w:rsidRPr="00AA6753">
        <w:rPr>
          <w:i/>
          <w:iCs/>
        </w:rPr>
        <w:t xml:space="preserve"> </w:t>
      </w:r>
      <w:r w:rsidRPr="00AA6753">
        <w:rPr>
          <w:i/>
          <w:iCs/>
        </w:rPr>
        <w:t>si fonda non soltanto sul dato testuale, ma anche sulla considerazione che esso costituirebbe</w:t>
      </w:r>
      <w:r w:rsidRPr="00AA6753">
        <w:rPr>
          <w:i/>
          <w:iCs/>
        </w:rPr>
        <w:t xml:space="preserve"> </w:t>
      </w:r>
      <w:r w:rsidRPr="00AA6753">
        <w:rPr>
          <w:i/>
          <w:iCs/>
        </w:rPr>
        <w:t>un riflesso della volontà del legislatore di creare un'entrata di natura patrimoniale, avente natura</w:t>
      </w:r>
      <w:r w:rsidRPr="00AA6753">
        <w:rPr>
          <w:i/>
          <w:iCs/>
        </w:rPr>
        <w:t xml:space="preserve"> </w:t>
      </w:r>
      <w:r w:rsidRPr="00AA6753">
        <w:rPr>
          <w:i/>
          <w:iCs/>
        </w:rPr>
        <w:t>corrispettiva.</w:t>
      </w:r>
      <w:r w:rsidR="009B3DF6" w:rsidRPr="009B3DF6">
        <w:t xml:space="preserve"> </w:t>
      </w:r>
    </w:p>
    <w:p w14:paraId="029DEBE0" w14:textId="5D399822" w:rsidR="00AA6753" w:rsidRDefault="009B3DF6" w:rsidP="009B3DF6">
      <w:pPr>
        <w:jc w:val="both"/>
        <w:rPr>
          <w:i/>
          <w:iCs/>
        </w:rPr>
      </w:pPr>
      <w:r w:rsidRPr="009B3DF6">
        <w:rPr>
          <w:i/>
          <w:iCs/>
        </w:rPr>
        <w:lastRenderedPageBreak/>
        <w:t>Un orientamento intermedio ritiene invece che si debba indagare caso per caso, dovendosi</w:t>
      </w:r>
      <w:r>
        <w:rPr>
          <w:i/>
          <w:iCs/>
        </w:rPr>
        <w:t xml:space="preserve"> </w:t>
      </w:r>
      <w:r w:rsidRPr="009B3DF6">
        <w:rPr>
          <w:i/>
          <w:iCs/>
        </w:rPr>
        <w:t>perciò distinguere, con riguardo al contenuto concreto della pretesa, fra il canone richiesto per</w:t>
      </w:r>
      <w:r>
        <w:rPr>
          <w:i/>
          <w:iCs/>
        </w:rPr>
        <w:t xml:space="preserve"> </w:t>
      </w:r>
      <w:r w:rsidRPr="009B3DF6">
        <w:rPr>
          <w:i/>
          <w:iCs/>
        </w:rPr>
        <w:t>la pubblicità e quello per la concessione di spazi ed aree.</w:t>
      </w:r>
      <w:r>
        <w:rPr>
          <w:i/>
          <w:iCs/>
        </w:rPr>
        <w:t xml:space="preserve"> </w:t>
      </w:r>
      <w:r w:rsidRPr="009B3DF6">
        <w:rPr>
          <w:i/>
          <w:iCs/>
        </w:rPr>
        <w:t>In questo senso, CGT II Liguria 799/2024 afferma che "L'intenzione legislativa non pare quella</w:t>
      </w:r>
      <w:r>
        <w:rPr>
          <w:i/>
          <w:iCs/>
        </w:rPr>
        <w:t xml:space="preserve"> </w:t>
      </w:r>
      <w:r w:rsidRPr="009B3DF6">
        <w:rPr>
          <w:i/>
          <w:iCs/>
        </w:rPr>
        <w:t>di istituire ex novo un tributo (o prestazione patrimoniale) quanto, piuttosto, di mutare</w:t>
      </w:r>
      <w:r>
        <w:rPr>
          <w:i/>
          <w:iCs/>
        </w:rPr>
        <w:t xml:space="preserve"> </w:t>
      </w:r>
      <w:r w:rsidRPr="009B3DF6">
        <w:rPr>
          <w:i/>
          <w:iCs/>
        </w:rPr>
        <w:t>denominazione fermi i precedenti presupposti, di fatto ripresi nel nuovo tessuto normativo", per</w:t>
      </w:r>
      <w:r>
        <w:rPr>
          <w:i/>
          <w:iCs/>
        </w:rPr>
        <w:t xml:space="preserve"> </w:t>
      </w:r>
      <w:r w:rsidRPr="009B3DF6">
        <w:rPr>
          <w:i/>
          <w:iCs/>
        </w:rPr>
        <w:t>cui il CUP "in tema pubblicità si pone in netta continuità con la normativa che precedentemente</w:t>
      </w:r>
      <w:r>
        <w:rPr>
          <w:i/>
          <w:iCs/>
        </w:rPr>
        <w:t xml:space="preserve"> </w:t>
      </w:r>
      <w:r w:rsidRPr="009B3DF6">
        <w:rPr>
          <w:i/>
          <w:iCs/>
        </w:rPr>
        <w:t>disciplinava l'imposta in questione e la cui natura senza alcun dubbio era ed è tributaria</w:t>
      </w:r>
      <w:r>
        <w:rPr>
          <w:i/>
          <w:iCs/>
        </w:rPr>
        <w:t>.”</w:t>
      </w:r>
    </w:p>
    <w:p w14:paraId="0EB23E8E" w14:textId="1968C269" w:rsidR="00B129B7" w:rsidRDefault="00B129B7" w:rsidP="00B129B7">
      <w:pPr>
        <w:jc w:val="both"/>
      </w:pPr>
      <w:r>
        <w:t xml:space="preserve">I giudici della CGT di Vicenza sembrano condividere la posizione assunta dalla Corte Regionale della Liguria, nell’andare a distinguere </w:t>
      </w:r>
      <w:r w:rsidRPr="00B129B7">
        <w:t>la fattispecie di cui alla lett. a) del comma</w:t>
      </w:r>
      <w:r>
        <w:t xml:space="preserve"> </w:t>
      </w:r>
      <w:r w:rsidRPr="00B129B7">
        <w:t>819 nell'alveo della giurisdizione ordinaria, e quella di cui alla lett. b) nell'alveo di quella ordinaria</w:t>
      </w:r>
      <w:r>
        <w:t xml:space="preserve">, ritenendo così </w:t>
      </w:r>
      <w:r w:rsidRPr="00B129B7">
        <w:t>che, all'interno</w:t>
      </w:r>
      <w:r>
        <w:t xml:space="preserve"> </w:t>
      </w:r>
      <w:r w:rsidRPr="00B129B7">
        <w:t>del canone unico, continuino a convivere una componente patrimoniale ed una tributaria, tali da</w:t>
      </w:r>
      <w:r>
        <w:t xml:space="preserve"> </w:t>
      </w:r>
      <w:r w:rsidRPr="00B129B7">
        <w:t>richiedere una diversificazione dei rimedi giurisdizionali esperibili.</w:t>
      </w:r>
    </w:p>
    <w:p w14:paraId="381F2B65" w14:textId="75A9745F" w:rsidR="00B129B7" w:rsidRPr="00B129B7" w:rsidRDefault="00B129B7" w:rsidP="00B129B7">
      <w:pPr>
        <w:jc w:val="both"/>
      </w:pPr>
      <w:r>
        <w:t xml:space="preserve">Tuttavia, riconoscono anche le motivazioni dei diversi orientamenti, così da decidere di richiedere uno scrutinio da parte del supremo organo nomofilattico. </w:t>
      </w:r>
    </w:p>
    <w:p w14:paraId="3C3CF138" w14:textId="796DC86E" w:rsidR="009B3DF6" w:rsidRDefault="00B129B7" w:rsidP="00B129B7">
      <w:pPr>
        <w:jc w:val="both"/>
      </w:pPr>
      <w:r w:rsidRPr="00B129B7">
        <w:t>Se è</w:t>
      </w:r>
      <w:r>
        <w:t xml:space="preserve"> </w:t>
      </w:r>
      <w:r w:rsidRPr="00B129B7">
        <w:t>vero, come più volte espresso dal giudice delle leggi, che il nomen iuris non è decisivo ai fini</w:t>
      </w:r>
      <w:r>
        <w:t xml:space="preserve"> </w:t>
      </w:r>
      <w:r w:rsidRPr="00B129B7">
        <w:t>dell'individuazione della natura tributaria o meno di una prestazione patrimoniale, non può</w:t>
      </w:r>
      <w:r>
        <w:t xml:space="preserve"> </w:t>
      </w:r>
      <w:r w:rsidRPr="00B129B7">
        <w:t>tuttavia considerarsi priva di rilievo la volontà del legislatore di accorpare entrate di diversa</w:t>
      </w:r>
      <w:r>
        <w:t xml:space="preserve"> </w:t>
      </w:r>
      <w:r w:rsidRPr="00B129B7">
        <w:t>natura in un unico canone di tipo patrimoniale, unificandone la disciplina e i rimedi</w:t>
      </w:r>
      <w:r>
        <w:t xml:space="preserve"> </w:t>
      </w:r>
      <w:r w:rsidRPr="00B129B7">
        <w:t>giurisdizionali esperibili. D'altro canto, è indubbio che il CUP continui a presentare caratteri</w:t>
      </w:r>
      <w:r>
        <w:t xml:space="preserve"> </w:t>
      </w:r>
      <w:r w:rsidRPr="00B129B7">
        <w:t>spiccatamente tributari, quali la doverosità, la natura autoritativa del provvedimento ed il collegamento con un</w:t>
      </w:r>
      <w:r>
        <w:t xml:space="preserve"> </w:t>
      </w:r>
      <w:r w:rsidRPr="00B129B7">
        <w:t>presupposto dotato di rilevanza economica, sussumibile nell'alveo del presupposto d'imposta</w:t>
      </w:r>
      <w:r>
        <w:t xml:space="preserve"> </w:t>
      </w:r>
      <w:r w:rsidRPr="00B129B7">
        <w:t>tradizionalmente inteso.</w:t>
      </w:r>
    </w:p>
    <w:p w14:paraId="137C0926" w14:textId="0CA2B054" w:rsidR="009066C8" w:rsidRPr="005949E5" w:rsidRDefault="009066C8" w:rsidP="00B129B7">
      <w:pPr>
        <w:jc w:val="both"/>
      </w:pPr>
      <w:r>
        <w:t>Non resta quindi che attendere il pronunciamento della Corte di Cassazione, che forse metterà fine ad uno dei tanti temi controversi della nuova entrata.</w:t>
      </w:r>
    </w:p>
    <w:p w14:paraId="29466221" w14:textId="77777777" w:rsidR="009B3DF6" w:rsidRPr="00AA6753" w:rsidRDefault="009B3DF6" w:rsidP="00AA6753">
      <w:pPr>
        <w:jc w:val="both"/>
      </w:pPr>
    </w:p>
    <w:sectPr w:rsidR="009B3DF6" w:rsidRPr="00AA675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40"/>
    <w:rsid w:val="00060149"/>
    <w:rsid w:val="00063F9D"/>
    <w:rsid w:val="00256289"/>
    <w:rsid w:val="00263C40"/>
    <w:rsid w:val="0041178C"/>
    <w:rsid w:val="00432CE8"/>
    <w:rsid w:val="005949E5"/>
    <w:rsid w:val="007B1496"/>
    <w:rsid w:val="009066C8"/>
    <w:rsid w:val="0091477F"/>
    <w:rsid w:val="009B3DF6"/>
    <w:rsid w:val="00AA0570"/>
    <w:rsid w:val="00AA6753"/>
    <w:rsid w:val="00B129B7"/>
    <w:rsid w:val="00BC319F"/>
    <w:rsid w:val="00F204E4"/>
    <w:rsid w:val="00FD016F"/>
    <w:rsid w:val="00FD04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3510"/>
  <w15:chartTrackingRefBased/>
  <w15:docId w15:val="{EEF5AF88-55F2-49BC-9524-943388B8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63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63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63C4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63C4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63C4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63C4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3C4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3C4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3C4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3C4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63C4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63C4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63C4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63C4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63C4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3C4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3C4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3C40"/>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3C4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3C4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3C4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3C4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3C40"/>
    <w:rPr>
      <w:i/>
      <w:iCs/>
      <w:color w:val="404040" w:themeColor="text1" w:themeTint="BF"/>
    </w:rPr>
  </w:style>
  <w:style w:type="paragraph" w:styleId="Paragrafoelenco">
    <w:name w:val="List Paragraph"/>
    <w:basedOn w:val="Normale"/>
    <w:uiPriority w:val="34"/>
    <w:qFormat/>
    <w:rsid w:val="00263C40"/>
    <w:pPr>
      <w:ind w:left="720"/>
      <w:contextualSpacing/>
    </w:pPr>
  </w:style>
  <w:style w:type="character" w:styleId="Enfasiintensa">
    <w:name w:val="Intense Emphasis"/>
    <w:basedOn w:val="Carpredefinitoparagrafo"/>
    <w:uiPriority w:val="21"/>
    <w:qFormat/>
    <w:rsid w:val="00263C40"/>
    <w:rPr>
      <w:i/>
      <w:iCs/>
      <w:color w:val="2F5496" w:themeColor="accent1" w:themeShade="BF"/>
    </w:rPr>
  </w:style>
  <w:style w:type="paragraph" w:styleId="Citazioneintensa">
    <w:name w:val="Intense Quote"/>
    <w:basedOn w:val="Normale"/>
    <w:next w:val="Normale"/>
    <w:link w:val="CitazioneintensaCarattere"/>
    <w:uiPriority w:val="30"/>
    <w:qFormat/>
    <w:rsid w:val="00263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63C40"/>
    <w:rPr>
      <w:i/>
      <w:iCs/>
      <w:color w:val="2F5496" w:themeColor="accent1" w:themeShade="BF"/>
    </w:rPr>
  </w:style>
  <w:style w:type="character" w:styleId="Riferimentointenso">
    <w:name w:val="Intense Reference"/>
    <w:basedOn w:val="Carpredefinitoparagrafo"/>
    <w:uiPriority w:val="32"/>
    <w:qFormat/>
    <w:rsid w:val="00263C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938</Words>
  <Characters>5348</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2025-05-08T08:28:00Z</dcterms:created>
  <dcterms:modified xsi:type="dcterms:W3CDTF">2025-05-08T10:43:00Z</dcterms:modified>
</cp:coreProperties>
</file>