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47.png" ContentType="image/png"/>
  <Override PartName="/word/media/rId52.png" ContentType="image/png"/>
  <Override PartName="/word/media/rId33.png" ContentType="image/png"/>
  <Override PartName="/word/media/image13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Suivi du Plan d’électrification — Spécification métier</w:t>
      </w:r>
    </w:p>
    <w:p>
      <w:pPr>
        <w:pStyle w:val="Date"/>
      </w:pPr>
      <w:r>
        <w:t xml:space="preserve">2026-05-20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En-ttedetabledesmatires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objectif-public-visé"/>
    <w:p>
      <w:pPr>
        <w:pStyle w:val="Titre1"/>
      </w:pPr>
      <w:r>
        <w:t xml:space="preserve">1. Objectif &amp; public visé</w:t>
      </w:r>
    </w:p>
    <w:p>
      <w:pPr>
        <w:pStyle w:val="FirstParagraph"/>
      </w:pPr>
      <w:r>
        <w:rPr>
          <w:b/>
          <w:bCs/>
        </w:rPr>
        <w:t xml:space="preserve">Question à laquelle l’outil répond :</w:t>
      </w:r>
      <w:r>
        <w:t xml:space="preserve"> </w:t>
      </w:r>
      <w:r>
        <w:t xml:space="preserve">« Où en est-on de la mise en œuvre du Plan d’électrification de la France annoncé en avril 2026 ? Quelles mesures sont lancées, en préparation, en retard ? Quels jalons restent à franchir d’ici fin 2027 ? »</w:t>
      </w:r>
    </w:p>
    <w:p>
      <w:pPr>
        <w:pStyle w:val="Corpsdetexte"/>
      </w:pPr>
      <w:r>
        <w:rPr>
          <w:b/>
          <w:bCs/>
        </w:rPr>
        <w:t xml:space="preserve">Public cible :</w:t>
      </w:r>
      <w:r>
        <w:t xml:space="preserve"> </w:t>
      </w:r>
      <w:r>
        <w:t xml:space="preserve">pilotage interne (DGEC, SGPE, cabinet du MTE, Matignon), publics avertis (parlementaires, journalistes spécialisés, ONG). En l’état actuel (prototype),</w:t>
      </w:r>
      <w:r>
        <w:t xml:space="preserve"> </w:t>
      </w:r>
      <w:r>
        <w:rPr>
          <w:b/>
          <w:bCs/>
        </w:rPr>
        <w:t xml:space="preserve">pas destiné au grand public</w:t>
      </w:r>
      <w:r>
        <w:t xml:space="preserve"> </w:t>
      </w:r>
      <w:r>
        <w:t xml:space="preserve">tant que les valeurs courantes sont simulées.</w:t>
      </w:r>
    </w:p>
    <w:p>
      <w:pPr>
        <w:pStyle w:val="Corpsdetexte"/>
      </w:pPr>
      <w:r>
        <w:rPr>
          <w:b/>
          <w:bCs/>
        </w:rPr>
        <w:t xml:space="preserve">Décision aidée :</w:t>
      </w:r>
    </w:p>
    <w:p>
      <w:pPr>
        <w:pStyle w:val="Compact"/>
        <w:numPr>
          <w:ilvl w:val="0"/>
          <w:numId w:val="1001"/>
        </w:numPr>
      </w:pPr>
      <w:r>
        <w:t xml:space="preserve">piloter l’avancement des 22 mesures (statut, % avancement, indicateurs cibles vs valeurs courantes) ;</w:t>
      </w:r>
    </w:p>
    <w:p>
      <w:pPr>
        <w:pStyle w:val="Compact"/>
        <w:numPr>
          <w:ilvl w:val="0"/>
          <w:numId w:val="1001"/>
        </w:numPr>
      </w:pPr>
      <w:r>
        <w:t xml:space="preserve">identifier les</w:t>
      </w:r>
      <w:r>
        <w:t xml:space="preserve"> </w:t>
      </w:r>
      <w:r>
        <w:rPr>
          <w:b/>
          <w:bCs/>
        </w:rPr>
        <w:t xml:space="preserve">mesures en retard</w:t>
      </w:r>
      <w:r>
        <w:t xml:space="preserve"> </w:t>
      </w:r>
      <w:r>
        <w:t xml:space="preserve">ou les</w:t>
      </w:r>
      <w:r>
        <w:t xml:space="preserve"> </w:t>
      </w:r>
      <w:r>
        <w:rPr>
          <w:b/>
          <w:bCs/>
        </w:rPr>
        <w:t xml:space="preserve">dispositifs en blocage réglementaire</w:t>
      </w:r>
      <w:r>
        <w:t xml:space="preserve"> </w:t>
      </w:r>
      <w:r>
        <w:t xml:space="preserve">(décret non publié, fiche CEE non révisée) ;</w:t>
      </w:r>
    </w:p>
    <w:p>
      <w:pPr>
        <w:pStyle w:val="Compact"/>
        <w:numPr>
          <w:ilvl w:val="0"/>
          <w:numId w:val="1001"/>
        </w:numPr>
      </w:pPr>
      <w:r>
        <w:t xml:space="preserve">arbitrer la communication publique (mesures déjà actives à mettre en avant vs mesures encore à instruire).</w:t>
      </w:r>
    </w:p>
    <w:p>
      <w:pPr>
        <w:pStyle w:val="FirstParagraph"/>
      </w:pPr>
      <w:r>
        <w:rPr>
          <w:b/>
          <w:bCs/>
        </w:rPr>
        <w:t xml:space="preserve">Hors périmètre (v0.1 prototype)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Valeurs courantes réelles</w:t>
      </w:r>
      <w:r>
        <w:t xml:space="preserve"> </w:t>
      </w:r>
      <w:r>
        <w:t xml:space="preserve">des indicateurs : actuellement</w:t>
      </w:r>
      <w:r>
        <w:t xml:space="preserve"> </w:t>
      </w:r>
      <w:r>
        <w:rPr>
          <w:b/>
          <w:bCs/>
        </w:rPr>
        <w:t xml:space="preserve">simulées</w:t>
      </w:r>
      <w:r>
        <w:t xml:space="preserve"> </w:t>
      </w:r>
      <w:r>
        <w:t xml:space="preserve">(à brancher sur les remontées officielles, cf. §6).</w:t>
      </w:r>
    </w:p>
    <w:p>
      <w:pPr>
        <w:pStyle w:val="Compact"/>
        <w:numPr>
          <w:ilvl w:val="0"/>
          <w:numId w:val="1002"/>
        </w:numPr>
      </w:pPr>
      <w:r>
        <w:t xml:space="preserve">Suivi financier mesure par mesure (enveloppes budgétaires par mesure) —</w:t>
      </w:r>
      <w:r>
        <w:t xml:space="preserve"> </w:t>
      </w:r>
      <w:r>
        <w:rPr>
          <w:i/>
          <w:iCs/>
        </w:rPr>
        <w:t xml:space="preserve">à intégrer si la DGEC publie le détail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Workflow validation / révision (édition collaborative) — outil en lecture seule.</w:t>
      </w:r>
    </w:p>
    <w:p>
      <w:pPr>
        <w:pStyle w:val="Compact"/>
        <w:numPr>
          <w:ilvl w:val="0"/>
          <w:numId w:val="1002"/>
        </w:numPr>
      </w:pPr>
      <w:r>
        <w:t xml:space="preserve">Export PDF / CSV pour revues cabinet —</w:t>
      </w:r>
      <w:r>
        <w:t xml:space="preserve"> </w:t>
      </w:r>
      <w:r>
        <w:rPr>
          <w:i/>
          <w:iCs/>
        </w:rPr>
        <w:t xml:space="preserve">à instruire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b0328b3a0aa9691bb197bd317d5f79a68fb30e9"/>
    <w:p>
      <w:pPr>
        <w:pStyle w:val="Titre1"/>
      </w:pPr>
      <w:r>
        <w:t xml:space="preserve">2. Scénario par défaut — fil rouge des exemples</w:t>
      </w:r>
    </w:p>
    <w:p>
      <w:pPr>
        <w:pStyle w:val="FirstParagraph"/>
      </w:pPr>
      <w:r>
        <w:t xml:space="preserve">Tous les exemples chiffrés et statuts de ce document utilisent les</w:t>
      </w:r>
      <w:r>
        <w:t xml:space="preserve"> </w:t>
      </w:r>
      <w:r>
        <w:rPr>
          <w:b/>
          <w:bCs/>
        </w:rPr>
        <w:t xml:space="preserve">valeurs initiales</w:t>
      </w:r>
      <w:r>
        <w:t xml:space="preserve"> </w:t>
      </w:r>
      <w:r>
        <w:t xml:space="preserve">du prototype (snapshot mi-mai 2026, ~1 mois après l’annonce du Plan).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État au chargement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mesures</w:t>
            </w:r>
          </w:p>
        </w:tc>
        <w:tc>
          <w:tcPr/>
          <w:p>
            <w:pPr>
              <w:pStyle w:val="Compact"/>
            </w:pPr>
            <w:r>
              <w:t xml:space="preserve">22 (3 transversales + 5 bâtiments + 6 mobilités + 8 industrie/artisanat/agriculture)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Statut majoritaire</w:t>
            </w:r>
          </w:p>
        </w:tc>
        <w:tc>
          <w:tcPr/>
          <w:p>
            <w:pPr>
              <w:pStyle w:val="Compact"/>
            </w:pPr>
            <w:r>
              <w:t xml:space="preserve">En préparation (la plupart sont en attente de leur décret ou fiche CEE)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Mesures lancées / opérationnelles</w:t>
            </w:r>
          </w:p>
        </w:tc>
        <w:tc>
          <w:tcPr/>
          <w:p>
            <w:pPr>
              <w:pStyle w:val="Compact"/>
            </w:pPr>
            <w:r>
              <w:t xml:space="preserve">M02 (piquage RTE), M14 (schéma directeur bornes), M17 (AAP engins agricoles en cours), M21 (1re relève GPID)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Mesures avec valeurs courantes simulées « plausibles »</w:t>
            </w:r>
          </w:p>
        </w:tc>
        <w:tc>
          <w:tcPr/>
          <w:p>
            <w:pPr>
              <w:pStyle w:val="Compact"/>
            </w:pPr>
            <w:r>
              <w:t xml:space="preserve">Toutes — explicitement signalé en callout d’alerte sur la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Onglet actif au chargement</w:t>
            </w:r>
          </w:p>
        </w:tc>
        <w:tc>
          <w:tcPr/>
          <w:p>
            <w:pPr>
              <w:pStyle w:val="Compact"/>
            </w:pPr>
            <w:r>
              <w:t xml:space="preserve">Transversal (3 mesures)</w:t>
            </w:r>
          </w:p>
        </w:tc>
      </w:tr>
    </w:tbl>
    <w:p>
      <w:pPr>
        <w:pStyle w:val="Normalcentr"/>
      </w:pPr>
      <w:r>
        <w:t xml:space="preserve">⚠️ Le simulateur affiche un</w:t>
      </w:r>
      <w:r>
        <w:t xml:space="preserve"> </w:t>
      </w:r>
      <w:r>
        <w:rPr>
          <w:b/>
          <w:bCs/>
        </w:rPr>
        <w:t xml:space="preserve">callout d’alerte permanent</w:t>
      </w:r>
      <w:r>
        <w:t xml:space="preserve"> </w:t>
      </w:r>
      <w:r>
        <w:t xml:space="preserve">rappelant que les valeurs courantes sont simulées : « Ce tableau de bord est un</w:t>
      </w:r>
      <w:r>
        <w:t xml:space="preserve"> </w:t>
      </w:r>
      <w:r>
        <w:rPr>
          <w:b/>
          <w:bCs/>
        </w:rPr>
        <w:t xml:space="preserve">prototype</w:t>
      </w:r>
      <w:r>
        <w:t xml:space="preserve">. Les valeurs cibles (« Quel objectif ? ») et les échéances (« Quand ? ») sont issues directement du dossier de presse d’avril 2026. En revanche, les valeurs courantes de chaque indicateur sont simulées tant que les remontées officielles ne sont pas branchées. »</w:t>
      </w:r>
    </w:p>
    <w:p>
      <w:r>
        <w:pict>
          <v:rect style="width:0;height:1.5pt" o:hralign="center" o:hrstd="t" o:hr="t"/>
        </w:pict>
      </w:r>
    </w:p>
    <w:bookmarkEnd w:id="32"/>
    <w:bookmarkStart w:id="37" w:name="vue-densemble-du-parcours"/>
    <w:p>
      <w:pPr>
        <w:pStyle w:val="Titre1"/>
      </w:pPr>
      <w:r>
        <w:t xml:space="preserve">3. Vue d’ensemble du parcours</w:t>
      </w:r>
    </w:p>
    <w:p>
      <w:pPr>
        <w:pStyle w:val="FirstParagraph"/>
      </w:pPr>
      <w:r>
        <w:t xml:space="preserve">Page unique structurée en</w:t>
      </w:r>
      <w:r>
        <w:t xml:space="preserve"> </w:t>
      </w:r>
      <w:r>
        <w:rPr>
          <w:b/>
          <w:bCs/>
        </w:rPr>
        <w:t xml:space="preserve">5 zones</w:t>
      </w:r>
      <w:r>
        <w:t xml:space="preserve"> </w:t>
      </w:r>
      <w:r>
        <w:t xml:space="preserve">verticales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En-tête</w:t>
      </w:r>
      <w:r>
        <w:t xml:space="preserve"> </w:t>
      </w:r>
      <w:r>
        <w:t xml:space="preserve">: titre + sous-titre + callout d’alerte « prototype 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KPIs globaux</w:t>
      </w:r>
      <w:r>
        <w:t xml:space="preserve"> </w:t>
      </w:r>
      <w:r>
        <w:t xml:space="preserve">: 4 KPIs comptant les mesures par grand statut.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Légende</w:t>
      </w:r>
      <w:r>
        <w:t xml:space="preserve"> </w:t>
      </w:r>
      <w:r>
        <w:t xml:space="preserve">: 6 statuts colorés (attente / préparation / lancée / en cours / cible atteinte / en retard).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Calendrier</w:t>
      </w:r>
      <w:r>
        <w:t xml:space="preserve"> </w:t>
      </w:r>
      <w:r>
        <w:t xml:space="preserve">: grille 5 colonnes (2026-Q2 / Q3 / Q4 / 2027 / long terme), une carte par mesure positionnée sur son jalon principal.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Détail par mesure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fr-tabs</w:t>
      </w:r>
      <w:r>
        <w:t xml:space="preserve"> </w:t>
      </w:r>
      <w:r>
        <w:t xml:space="preserve">à 4 onglets (Transversal / Bâtiments / Mobilités / Industrie+artisanat+agriculture), chaque onglet contenant les cartes mesure de l’axe.</w:t>
      </w:r>
    </w:p>
    <w:p>
      <w:pPr>
        <w:pStyle w:val="FirstParagraph"/>
      </w:pPr>
      <w:r>
        <w:t xml:space="preserve">Suivi par une section</w:t>
      </w:r>
      <w:r>
        <w:t xml:space="preserve"> </w:t>
      </w:r>
      <w:r>
        <w:rPr>
          <w:b/>
          <w:bCs/>
        </w:rPr>
        <w:t xml:space="preserve">Méthodologie &amp; sources</w:t>
      </w:r>
      <w:r>
        <w:t xml:space="preserve"> </w:t>
      </w:r>
      <w:r>
        <w:t xml:space="preserve">détaillant les 13 familles de données qu’il faudrait brancher pour piloter en temps réel.</w:t>
      </w:r>
    </w:p>
    <w:p>
      <w:pPr>
        <w:pStyle w:val="Corpsdetexte"/>
      </w:pPr>
      <w:r>
        <w:drawing>
          <wp:inline>
            <wp:extent cx="5039999" cy="258201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suivi-plan%20-%20globa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582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t xml:space="preserve">Vue d’ensemble au chargement (KPIs globaux + légende, scénario par défaut).</w:t>
      </w:r>
    </w:p>
    <w:bookmarkStart w:id="36" w:name="points-à-valider-sur-la-vue-densemble"/>
    <w:p>
      <w:pPr>
        <w:pStyle w:val="Titre3"/>
      </w:pPr>
      <w:r>
        <w:t xml:space="preserve">Points à valider sur la vue d’ensemble</w:t>
      </w:r>
    </w:p>
    <w:p>
      <w:pPr>
        <w:pStyle w:val="Compact"/>
        <w:numPr>
          <w:ilvl w:val="0"/>
          <w:numId w:val="1004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callout d’alerte « prototype »</w:t>
      </w:r>
      <w:r>
        <w:t xml:space="preserve"> </w:t>
      </w:r>
      <w:r>
        <w:t xml:space="preserve">est-il suffisamment visible pour qu’aucun lecteur ne confonde valeurs simulées et valeurs officielles ?</w:t>
      </w:r>
    </w:p>
    <w:p>
      <w:pPr>
        <w:pStyle w:val="Compact"/>
        <w:numPr>
          <w:ilvl w:val="0"/>
          <w:numId w:val="1005"/>
        </w:numPr>
      </w:pPr>
      <w:r>
        <w:t xml:space="preserve">L’</w:t>
      </w:r>
      <w:r>
        <w:rPr>
          <w:b/>
          <w:bCs/>
        </w:rPr>
        <w:t xml:space="preserve">ordre des zones</w:t>
      </w:r>
      <w:r>
        <w:t xml:space="preserve"> </w:t>
      </w:r>
      <w:r>
        <w:t xml:space="preserve">(KPIs → légende → calendrier → onglets détail) correspond-il au flux de lecture attendu pour le pilotage 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8" w:name="détail-par-zone-fonctionnelle"/>
    <w:p>
      <w:pPr>
        <w:pStyle w:val="Titre1"/>
      </w:pPr>
      <w:r>
        <w:t xml:space="preserve">4. Détail par zone fonctionnelle</w:t>
      </w:r>
    </w:p>
    <w:bookmarkStart w:id="41" w:name="zone-kpis-globaux"/>
    <w:p>
      <w:pPr>
        <w:pStyle w:val="Titre2"/>
      </w:pPr>
      <w:r>
        <w:t xml:space="preserve">4.1 Zone — KPIs globaux</w:t>
      </w:r>
    </w:p>
    <w:p>
      <w:pPr>
        <w:pStyle w:val="FirstParagraph"/>
      </w:pPr>
      <w:r>
        <w:drawing>
          <wp:inline>
            <wp:extent cx="5039999" cy="258201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suivi-plan%20-%20glob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582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t xml:space="preserve">Bandeau de 4 KPIs DSFR (border-left coloré)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Calcul</w:t>
            </w:r>
          </w:p>
        </w:tc>
        <w:tc>
          <w:tcPr/>
          <w:p>
            <w:pPr>
              <w:pStyle w:val="Compact"/>
            </w:pPr>
            <w:r>
              <w:t xml:space="preserve">Couleur border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Mesures au 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MEASURES.length</w:t>
            </w:r>
            <w:r>
              <w:t xml:space="preserve"> </w:t>
            </w:r>
            <w:r>
              <w:t xml:space="preserve">(= 22)</w:t>
            </w:r>
          </w:p>
        </w:tc>
        <w:tc>
          <w:tcPr/>
          <w:p>
            <w:pPr>
              <w:pStyle w:val="Compact"/>
            </w:pPr>
            <w:r>
              <w:t xml:space="preserve">Bleu DSFR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préparation</w:t>
            </w:r>
          </w:p>
        </w:tc>
        <w:tc>
          <w:tcPr/>
          <w:p>
            <w:pPr>
              <w:pStyle w:val="Compact"/>
            </w:pPr>
            <w:r>
              <w:t xml:space="preserve">count des mesures avec</w:t>
            </w:r>
            <w:r>
              <w:t xml:space="preserve"> </w:t>
            </w:r>
            <w:r>
              <w:rPr>
                <w:rStyle w:val="VerbatimChar"/>
              </w:rPr>
              <w:t xml:space="preserve">status === "preparation"</w:t>
            </w:r>
          </w:p>
        </w:tc>
        <w:tc>
          <w:tcPr/>
          <w:p>
            <w:pPr>
              <w:pStyle w:val="Compact"/>
            </w:pPr>
            <w:r>
              <w:t xml:space="preserve">Bleu info (</w:t>
            </w:r>
            <w:r>
              <w:rPr>
                <w:rStyle w:val="VerbatimChar"/>
              </w:rPr>
              <w:t xml:space="preserve">#0063cb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Lancées / en cours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  <w:r>
              <w:t xml:space="preserve"> </w:t>
            </w:r>
            <w:r>
              <w:rPr>
                <w:rStyle w:val="VerbatimChar"/>
              </w:rPr>
              <w:t xml:space="preserve">status ∈ {lancee, encours}</w:t>
            </w:r>
          </w:p>
        </w:tc>
        <w:tc>
          <w:tcPr/>
          <w:p>
            <w:pPr>
              <w:pStyle w:val="Compact"/>
            </w:pPr>
            <w:r>
              <w:t xml:space="preserve">Orange warn (</w:t>
            </w:r>
            <w:r>
              <w:rPr>
                <w:rStyle w:val="VerbatimChar"/>
              </w:rPr>
              <w:t xml:space="preserve">#b34000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Cibles atteintes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  <w:r>
              <w:t xml:space="preserve"> </w:t>
            </w:r>
            <w:r>
              <w:rPr>
                <w:rStyle w:val="VerbatimChar"/>
              </w:rPr>
              <w:t xml:space="preserve">status === "atteinte"</w:t>
            </w:r>
          </w:p>
        </w:tc>
        <w:tc>
          <w:tcPr/>
          <w:p>
            <w:pPr>
              <w:pStyle w:val="Compact"/>
            </w:pPr>
            <w:r>
              <w:t xml:space="preserve">Vert ok (</w:t>
            </w:r>
            <w:r>
              <w:rPr>
                <w:rStyle w:val="VerbatimChar"/>
              </w:rPr>
              <w:t xml:space="preserve">#18753c</w:t>
            </w:r>
            <w:r>
              <w:t xml:space="preserve">)</w:t>
            </w:r>
          </w:p>
        </w:tc>
      </w:tr>
    </w:tbl>
    <w:p>
      <w:pPr>
        <w:pStyle w:val="Corpsdetexte"/>
      </w:pPr>
      <w:r>
        <w:t xml:space="preserve">Chaque KPI a un sous-libellé d’aide à la lecture (« 3 transversales + 19 sectorielles » pour le total, « décrets, arrêtés, consultations » pour la préparation, etc.).</w:t>
      </w:r>
    </w:p>
    <w:bookmarkStart w:id="40" w:name="points-à-valider-sur-cette-zone"/>
    <w:p>
      <w:pPr>
        <w:pStyle w:val="Titre3"/>
      </w:pPr>
      <w:r>
        <w:t xml:space="preserve">Points à valider sur cette zone</w:t>
      </w:r>
    </w:p>
    <w:p>
      <w:pPr>
        <w:pStyle w:val="Compact"/>
        <w:numPr>
          <w:ilvl w:val="0"/>
          <w:numId w:val="1006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4 KPIs choisis</w:t>
      </w:r>
      <w:r>
        <w:t xml:space="preserve"> </w:t>
      </w:r>
      <w:r>
        <w:t xml:space="preserve">(Total / Préparation / Lancées+En cours / Atteintes) sont-ils les bons indicateurs cardinaux ? Manque « En retard » qui mériterait peut-être son propre KPI ?</w:t>
      </w:r>
    </w:p>
    <w:p>
      <w:pPr>
        <w:pStyle w:val="Compact"/>
        <w:numPr>
          <w:ilvl w:val="0"/>
          <w:numId w:val="1007"/>
        </w:numPr>
      </w:pPr>
      <w:r>
        <w:t xml:space="preserve">Doit-on ajouter un KPI</w:t>
      </w:r>
      <w:r>
        <w:t xml:space="preserve"> </w:t>
      </w:r>
      <w:r>
        <w:rPr>
          <w:b/>
          <w:bCs/>
        </w:rPr>
        <w:t xml:space="preserve">% d’avancement global</w:t>
      </w:r>
      <w:r>
        <w:t xml:space="preserve"> </w:t>
      </w:r>
      <w:r>
        <w:t xml:space="preserve">(moyenne pondérée des % d’avancement par mesure) ?</w:t>
      </w:r>
    </w:p>
    <w:p>
      <w:pPr>
        <w:pStyle w:val="Compact"/>
        <w:numPr>
          <w:ilvl w:val="0"/>
          <w:numId w:val="1008"/>
        </w:numPr>
      </w:pPr>
      <w:r>
        <w:t xml:space="preserve">Doit-on ajouter un KPI</w:t>
      </w:r>
      <w:r>
        <w:t xml:space="preserve"> </w:t>
      </w:r>
      <w:r>
        <w:rPr>
          <w:b/>
          <w:bCs/>
        </w:rPr>
        <w:t xml:space="preserve">délai moyen restant</w:t>
      </w:r>
      <w:r>
        <w:t xml:space="preserve"> </w:t>
      </w:r>
      <w:r>
        <w:t xml:space="preserve">avant échéance ?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zone-calendrier-grille-5-colonnes"/>
    <w:p>
      <w:pPr>
        <w:pStyle w:val="Titre2"/>
      </w:pPr>
      <w:r>
        <w:t xml:space="preserve">4.2 Zone — Calendrier (grille 5 colonnes)</w:t>
      </w:r>
    </w:p>
    <w:p>
      <w:pPr>
        <w:pStyle w:val="FirstParagraph"/>
      </w:pPr>
      <w:r>
        <w:drawing>
          <wp:inline>
            <wp:extent cx="5039999" cy="272581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suivi-plan%20-%20calendri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25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t xml:space="preserve">Grille HTML 5 colonnes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Colonne</w:t>
            </w:r>
          </w:p>
        </w:tc>
        <w:tc>
          <w:tcPr/>
          <w:p>
            <w:pPr>
              <w:pStyle w:val="Compact"/>
            </w:pPr>
            <w:r>
              <w:t xml:space="preserve">Période</w:t>
            </w:r>
          </w:p>
        </w:tc>
        <w:tc>
          <w:tcPr/>
          <w:p>
            <w:pPr>
              <w:pStyle w:val="Compact"/>
            </w:pPr>
            <w:r>
              <w:t xml:space="preserve">Libellé affiché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2026-Q2</w:t>
            </w:r>
          </w:p>
        </w:tc>
        <w:tc>
          <w:tcPr/>
          <w:p>
            <w:pPr>
              <w:pStyle w:val="Compact"/>
            </w:pPr>
            <w:r>
              <w:t xml:space="preserve">2026 · Q2 (mai-juin)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2026-Q3</w:t>
            </w:r>
          </w:p>
        </w:tc>
        <w:tc>
          <w:tcPr/>
          <w:p>
            <w:pPr>
              <w:pStyle w:val="Compact"/>
            </w:pPr>
            <w:r>
              <w:t xml:space="preserve">2026 · Q3 (juil-sept)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2026-Q4</w:t>
            </w:r>
          </w:p>
        </w:tc>
        <w:tc>
          <w:tcPr/>
          <w:p>
            <w:pPr>
              <w:pStyle w:val="Compact"/>
            </w:pPr>
            <w:r>
              <w:t xml:space="preserve">2026 · Q4 (oct-déc)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longterme</w:t>
            </w:r>
          </w:p>
        </w:tc>
        <w:tc>
          <w:tcPr/>
          <w:p>
            <w:pPr>
              <w:pStyle w:val="Compact"/>
            </w:pPr>
            <w:r>
              <w:t xml:space="preserve">2030 → 2035 (long terme)</w:t>
            </w:r>
          </w:p>
        </w:tc>
      </w:tr>
    </w:tbl>
    <w:p>
      <w:pPr>
        <w:pStyle w:val="Corpsdetexte"/>
      </w:pPr>
      <w:r>
        <w:t xml:space="preserve">Chaque mesure est positionnée dans</w:t>
      </w:r>
      <w:r>
        <w:t xml:space="preserve"> </w:t>
      </w:r>
      <w:r>
        <w:rPr>
          <w:b/>
          <w:bCs/>
        </w:rPr>
        <w:t xml:space="preserve">une seule colonne</w:t>
      </w:r>
      <w:r>
        <w:t xml:space="preserve"> </w:t>
      </w:r>
      <w:r>
        <w:t xml:space="preserve">correspondant à son</w:t>
      </w:r>
      <w:r>
        <w:t xml:space="preserve"> </w:t>
      </w:r>
      <w:r>
        <w:rPr>
          <w:b/>
          <w:bCs/>
        </w:rPr>
        <w:t xml:space="preserve">principal jalon opérationnel</w:t>
      </w:r>
      <w:r>
        <w:t xml:space="preserve"> </w:t>
      </w:r>
      <w:r>
        <w:t xml:space="preserve">(publication du texte, ouverture du dispositif, entrée en vigueur). Plusieurs mesures ont des jalons intermédiaires : seul le plus structurant figure ici.</w:t>
      </w:r>
    </w:p>
    <w:p>
      <w:pPr>
        <w:pStyle w:val="Corpsdetexte"/>
      </w:pPr>
      <w:r>
        <w:t xml:space="preserve">Chaque carte mesure dans le calendrier contient : badge</w:t>
      </w:r>
      <w:r>
        <w:t xml:space="preserve"> </w:t>
      </w:r>
      <w:r>
        <w:rPr>
          <w:rStyle w:val="VerbatimChar"/>
        </w:rPr>
        <w:t xml:space="preserve">M01</w:t>
      </w:r>
      <w:r>
        <w:t xml:space="preserve">, libellé court, pastille colorée de statut.</w:t>
      </w:r>
    </w:p>
    <w:p>
      <w:pPr>
        <w:pStyle w:val="Corpsdetexte"/>
      </w:pPr>
      <w:r>
        <w:rPr>
          <w:b/>
          <w:bCs/>
        </w:rPr>
        <w:t xml:space="preserve">Au clic</w:t>
      </w:r>
      <w:r>
        <w:t xml:space="preserve"> </w:t>
      </w:r>
      <w:r>
        <w:t xml:space="preserve">sur une carte calendrier, l’utilisateur :</w:t>
      </w:r>
    </w:p>
    <w:p>
      <w:pPr>
        <w:pStyle w:val="Compact"/>
        <w:numPr>
          <w:ilvl w:val="0"/>
          <w:numId w:val="1009"/>
        </w:numPr>
      </w:pPr>
      <w:r>
        <w:t xml:space="preserve">bascule sur l’onglet de l’axe correspondant ;</w:t>
      </w:r>
    </w:p>
    <w:p>
      <w:pPr>
        <w:pStyle w:val="Compact"/>
        <w:numPr>
          <w:ilvl w:val="0"/>
          <w:numId w:val="1009"/>
        </w:numPr>
      </w:pPr>
      <w:r>
        <w:t xml:space="preserve">la page scrolle automatiquement sur la carte mesure détaillée (</w:t>
      </w:r>
      <w:r>
        <w:rPr>
          <w:rStyle w:val="VerbatimChar"/>
        </w:rPr>
        <w:t xml:space="preserve">scrollIntoView</w:t>
      </w:r>
      <w:r>
        <w:t xml:space="preserve">).</w:t>
      </w:r>
    </w:p>
    <w:bookmarkStart w:id="45" w:name="points-à-valider-sur-cette-zone-1"/>
    <w:p>
      <w:pPr>
        <w:pStyle w:val="Titre3"/>
      </w:pPr>
      <w:r>
        <w:t xml:space="preserve">Points à valider sur cette zone</w:t>
      </w:r>
    </w:p>
    <w:p>
      <w:pPr>
        <w:pStyle w:val="Compact"/>
        <w:numPr>
          <w:ilvl w:val="0"/>
          <w:numId w:val="1010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découpage 2026-Q2 / Q3 / Q4 / 2027 / long terme</w:t>
      </w:r>
      <w:r>
        <w:t xml:space="preserve"> </w:t>
      </w:r>
      <w:r>
        <w:t xml:space="preserve">est-il le bon ? Faut-il faire apparaître</w:t>
      </w:r>
      <w:r>
        <w:t xml:space="preserve"> </w:t>
      </w:r>
      <w:r>
        <w:rPr>
          <w:b/>
          <w:bCs/>
        </w:rPr>
        <w:t xml:space="preserve">2028 / 2029</w:t>
      </w:r>
      <w:r>
        <w:t xml:space="preserve"> </w:t>
      </w:r>
      <w:r>
        <w:t xml:space="preserve">explicitement ?</w:t>
      </w:r>
    </w:p>
    <w:p>
      <w:pPr>
        <w:pStyle w:val="Compact"/>
        <w:numPr>
          <w:ilvl w:val="0"/>
          <w:numId w:val="101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choix d’un jalon unique par mesure</w:t>
      </w:r>
      <w:r>
        <w:t xml:space="preserve"> </w:t>
      </w:r>
      <w:r>
        <w:t xml:space="preserve">est-il un parti pris acceptable, ou faut-il représenter une mesure avec plusieurs jalons (ex. par une barre) ?</w:t>
      </w:r>
    </w:p>
    <w:p>
      <w:pPr>
        <w:pStyle w:val="Compact"/>
        <w:numPr>
          <w:ilvl w:val="0"/>
          <w:numId w:val="1012"/>
        </w:numPr>
      </w:pPr>
      <w:r>
        <w:t xml:space="preserve">L’interaction</w:t>
      </w:r>
      <w:r>
        <w:t xml:space="preserve"> </w:t>
      </w:r>
      <w:r>
        <w:rPr>
          <w:b/>
          <w:bCs/>
        </w:rPr>
        <w:t xml:space="preserve">clic calendrier → bascule onglet + scroll</w:t>
      </w:r>
      <w:r>
        <w:t xml:space="preserve"> </w:t>
      </w:r>
      <w:r>
        <w:t xml:space="preserve">est-elle assez intuitive ? Faut-il une animation visuelle de la carte au scroll ?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7" w:name="Xe033ddbe2eb6bef9d744c8e42d213a7779defd7"/>
    <w:p>
      <w:pPr>
        <w:pStyle w:val="Titre2"/>
      </w:pPr>
      <w:r>
        <w:t xml:space="preserve">4.3 Zone — Détail par mesure (4 onglets, 22 cartes au total)</w:t>
      </w:r>
    </w:p>
    <w:p>
      <w:pPr>
        <w:pStyle w:val="FirstParagraph"/>
      </w:pPr>
      <w:r>
        <w:t xml:space="preserve">L’outil utilise</w:t>
      </w:r>
      <w:r>
        <w:t xml:space="preserve"> </w:t>
      </w:r>
      <w:r>
        <w:rPr>
          <w:rStyle w:val="VerbatimChar"/>
        </w:rPr>
        <w:t xml:space="preserve">fr-tabs</w:t>
      </w:r>
      <w:r>
        <w:t xml:space="preserve"> </w:t>
      </w:r>
      <w:r>
        <w:t xml:space="preserve">DSFR à 4 onglets, chacun contenant les cartes mesure de son axe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Onglet</w:t>
            </w:r>
          </w:p>
        </w:tc>
        <w:tc>
          <w:tcPr/>
          <w:p>
            <w:pPr>
              <w:pStyle w:val="Compact"/>
            </w:pPr>
            <w:r>
              <w:t xml:space="preserve">Axe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Transversal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transversal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Bâtiments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batiments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Mobilités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mobilites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Industrie, artisanat, agriculture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industrie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Start w:id="50" w:name="structure-dune-carte-mesure"/>
    <w:p>
      <w:pPr>
        <w:pStyle w:val="Titre3"/>
      </w:pPr>
      <w:r>
        <w:t xml:space="preserve">4.3.1 Structure d’une carte mesure</w:t>
      </w:r>
    </w:p>
    <w:p>
      <w:pPr>
        <w:pStyle w:val="FirstParagraph"/>
      </w:pPr>
      <w:r>
        <w:drawing>
          <wp:inline>
            <wp:extent cx="4319999" cy="166306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s/suivi-plan%20-%20detail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663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t xml:space="preserve">Chaque carte (</w:t>
      </w:r>
      <w:r>
        <w:rPr>
          <w:rStyle w:val="VerbatimChar"/>
        </w:rPr>
        <w:t xml:space="preserve">&lt;article class="measure"&gt;</w:t>
      </w:r>
      <w:r>
        <w:t xml:space="preserve">) contient 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Header</w:t>
      </w:r>
      <w:r>
        <w:t xml:space="preserve"> </w:t>
      </w:r>
      <w:r>
        <w:t xml:space="preserve">: badge</w:t>
      </w:r>
      <w:r>
        <w:t xml:space="preserve"> </w:t>
      </w:r>
      <w:r>
        <w:rPr>
          <w:rStyle w:val="VerbatimChar"/>
        </w:rPr>
        <w:t xml:space="preserve">M0X</w:t>
      </w:r>
      <w:r>
        <w:t xml:space="preserve"> </w:t>
      </w:r>
      <w:r>
        <w:t xml:space="preserve">(fond bleu), titre de la mesure, badge statut (couleur = statut)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Méta</w:t>
      </w:r>
      <w:r>
        <w:t xml:space="preserve"> </w:t>
      </w:r>
      <w:r>
        <w:t xml:space="preserve">: icône calendrier + échéance · icône cible + objectif officiel (issu du DP)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Barre de progression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en %, couleur = statut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Indicateurs</w:t>
      </w:r>
      <w:r>
        <w:t xml:space="preserve"> </w:t>
      </w:r>
      <w:r>
        <w:t xml:space="preserve">(grille auto-fit, mini 220 px) : pour chaque indicateur :</w:t>
      </w:r>
    </w:p>
    <w:p>
      <w:pPr>
        <w:pStyle w:val="Compact"/>
        <w:numPr>
          <w:ilvl w:val="1"/>
          <w:numId w:val="1014"/>
        </w:numPr>
      </w:pPr>
      <w:r>
        <w:t xml:space="preserve">libellé + hint éventuel</w:t>
      </w:r>
    </w:p>
    <w:p>
      <w:pPr>
        <w:pStyle w:val="Compact"/>
        <w:numPr>
          <w:ilvl w:val="1"/>
          <w:numId w:val="1014"/>
        </w:numPr>
      </w:pPr>
      <w:r>
        <w:t xml:space="preserve">valeur courante / cible (format</w:t>
      </w:r>
      <w:r>
        <w:t xml:space="preserve"> </w:t>
      </w:r>
      <w:r>
        <w:rPr>
          <w:rStyle w:val="VerbatimChar"/>
        </w:rPr>
        <w:t xml:space="preserve">12 345 / 50 000</w:t>
      </w:r>
      <w:r>
        <w:t xml:space="preserve">)</w:t>
      </w:r>
    </w:p>
    <w:p>
      <w:pPr>
        <w:pStyle w:val="Compact"/>
        <w:numPr>
          <w:ilvl w:val="1"/>
          <w:numId w:val="1014"/>
        </w:numPr>
      </w:pPr>
      <w:r>
        <w:t xml:space="preserve">mini-barre de progression (sauf indicateurs « texte » comme un statut juridique)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Bloc dépliable</w:t>
      </w:r>
      <w:r>
        <w:t xml:space="preserve"> </w:t>
      </w:r>
      <w:r>
        <w:t xml:space="preserve">« Données à brancher pour suivre en réel » (fond jaune</w:t>
      </w:r>
      <w:r>
        <w:t xml:space="preserve"> </w:t>
      </w:r>
      <w:r>
        <w:rPr>
          <w:rStyle w:val="VerbatimChar"/>
        </w:rPr>
        <w:t xml:space="preserve">#fef7da</w:t>
      </w:r>
      <w:r>
        <w:t xml:space="preserve">)</w:t>
      </w:r>
    </w:p>
    <w:bookmarkEnd w:id="50"/>
    <w:bookmarkStart w:id="51" w:name="statuts-couleurs-et-codes"/>
    <w:p>
      <w:pPr>
        <w:pStyle w:val="Titre3"/>
      </w:pPr>
      <w:r>
        <w:t xml:space="preserve">4.3.2 Statuts (couleurs et codes)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Libellé</w:t>
            </w:r>
          </w:p>
        </w:tc>
        <w:tc>
          <w:tcPr/>
          <w:p>
            <w:pPr>
              <w:pStyle w:val="Compact"/>
            </w:pPr>
            <w:r>
              <w:t xml:space="preserve">Couleur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attente</w:t>
            </w:r>
          </w:p>
        </w:tc>
        <w:tc>
          <w:tcPr/>
          <w:p>
            <w:pPr>
              <w:pStyle w:val="Compact"/>
            </w:pPr>
            <w:r>
              <w:t xml:space="preserve">En attente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#6a6af4</w:t>
            </w:r>
            <w:r>
              <w:t xml:space="preserve"> </w:t>
            </w:r>
            <w:r>
              <w:t xml:space="preserve">(violet pâle)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En préparation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#a558a0</w:t>
            </w:r>
            <w:r>
              <w:t xml:space="preserve"> </w:t>
            </w:r>
            <w:r>
              <w:t xml:space="preserve">(mauve)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lancee</w:t>
            </w:r>
          </w:p>
        </w:tc>
        <w:tc>
          <w:tcPr/>
          <w:p>
            <w:pPr>
              <w:pStyle w:val="Compact"/>
            </w:pPr>
            <w:r>
              <w:t xml:space="preserve">Lancée / opérationnelle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#009081</w:t>
            </w:r>
            <w:r>
              <w:t xml:space="preserve"> </w:t>
            </w:r>
            <w:r>
              <w:t xml:space="preserve">(turquoise)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encours</w:t>
            </w:r>
          </w:p>
        </w:tc>
        <w:tc>
          <w:tcPr/>
          <w:p>
            <w:pPr>
              <w:pStyle w:val="Compact"/>
            </w:pPr>
            <w:r>
              <w:t xml:space="preserve">En cours (résultats partiels)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#d1b781</w:t>
            </w:r>
            <w:r>
              <w:t xml:space="preserve"> </w:t>
            </w:r>
            <w:r>
              <w:t xml:space="preserve">(jaune-or)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atteinte</w:t>
            </w:r>
          </w:p>
        </w:tc>
        <w:tc>
          <w:tcPr/>
          <w:p>
            <w:pPr>
              <w:pStyle w:val="Compact"/>
            </w:pPr>
            <w:r>
              <w:t xml:space="preserve">Cible atteinte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#18753c</w:t>
            </w:r>
            <w:r>
              <w:t xml:space="preserve"> </w:t>
            </w:r>
            <w:r>
              <w:t xml:space="preserve">(vert succès)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retard</w:t>
            </w:r>
          </w:p>
        </w:tc>
        <w:tc>
          <w:tcPr/>
          <w:p>
            <w:pPr>
              <w:pStyle w:val="Compact"/>
            </w:pPr>
            <w:r>
              <w:t xml:space="preserve">En retard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#ce0500</w:t>
            </w:r>
            <w:r>
              <w:t xml:space="preserve"> </w:t>
            </w:r>
            <w:r>
              <w:t xml:space="preserve">(rouge danger)</w:t>
            </w:r>
          </w:p>
        </w:tc>
      </w:tr>
    </w:tbl>
    <w:bookmarkEnd w:id="51"/>
    <w:bookmarkStart w:id="55" w:name="Xb2fa1811a65a9d5c6715bb623d265c436d7ed12"/>
    <w:p>
      <w:pPr>
        <w:pStyle w:val="Titre3"/>
      </w:pPr>
      <w:r>
        <w:t xml:space="preserve">4.3.3 Exemple — Mesure 9 « 50 000 véhicules électriques en location sociale (leasing) »</w:t>
      </w:r>
    </w:p>
    <w:p>
      <w:pPr>
        <w:pStyle w:val="FirstParagraph"/>
      </w:pPr>
      <w:r>
        <w:drawing>
          <wp:inline>
            <wp:extent cx="4319999" cy="1682456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suivi-plan%20-%20detail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682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t xml:space="preserve">Carte complète 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En préparation, 30 % avancement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Échéance</w:t>
      </w:r>
      <w:r>
        <w:t xml:space="preserve"> </w:t>
      </w:r>
      <w:r>
        <w:t xml:space="preserve">: Mi-juillet 2026 (ouverture commandes)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Objectif officiel (DP)</w:t>
      </w:r>
      <w:r>
        <w:t xml:space="preserve"> </w:t>
      </w:r>
      <w:r>
        <w:t xml:space="preserve">: « 50 000 véhicules électriques neufs loués à des ménages modestes en 2026. »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Indicateurs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Véhicules loués (édition 2026) : 0 / 50 000 (mini-barre 0 %)</w:t>
      </w:r>
    </w:p>
    <w:p>
      <w:pPr>
        <w:pStyle w:val="Compact"/>
        <w:numPr>
          <w:ilvl w:val="1"/>
          <w:numId w:val="1016"/>
        </w:numPr>
      </w:pPr>
      <w:r>
        <w:t xml:space="preserve">Offres concessionnaires disponibles : 0 / — (pas de cible chiffrée)</w:t>
      </w:r>
    </w:p>
    <w:p>
      <w:pPr>
        <w:pStyle w:val="Compact"/>
        <w:numPr>
          <w:ilvl w:val="1"/>
          <w:numId w:val="1016"/>
        </w:numPr>
      </w:pPr>
      <w:r>
        <w:t xml:space="preserve">Statut dispositif : « Préparation appel d’offres » → « Ouvert »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Données à brancher</w:t>
      </w:r>
      <w:r>
        <w:t xml:space="preserve"> </w:t>
      </w:r>
      <w:r>
        <w:t xml:space="preserve">: « Pilote ASP/DGEC : remontée mensuelle du nombre de contrats signés. Pour les éditions précédentes (2024/2025), le compteur public était mis à jour irrégulièrement — à fiabiliser. »</w:t>
      </w:r>
    </w:p>
    <w:bookmarkEnd w:id="55"/>
    <w:bookmarkStart w:id="56" w:name="points-à-valider-sur-cette-zone-2"/>
    <w:p>
      <w:pPr>
        <w:pStyle w:val="Titre3"/>
      </w:pPr>
      <w:r>
        <w:t xml:space="preserve">Points à valider sur cette zone</w:t>
      </w:r>
    </w:p>
    <w:p>
      <w:pPr>
        <w:pStyle w:val="Compact"/>
        <w:numPr>
          <w:ilvl w:val="0"/>
          <w:numId w:val="1017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6 statuts</w:t>
      </w:r>
      <w:r>
        <w:t xml:space="preserve"> </w:t>
      </w:r>
      <w:r>
        <w:t xml:space="preserve">sont-ils les bons ? Faut-il distinguer</w:t>
      </w:r>
      <w:r>
        <w:t xml:space="preserve"> </w:t>
      </w:r>
      <w:r>
        <w:rPr>
          <w:b/>
          <w:bCs/>
        </w:rPr>
        <w:t xml:space="preserve">« En attente d’arbitrage »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« En préparation »</w:t>
      </w:r>
      <w:r>
        <w:t xml:space="preserve"> </w:t>
      </w:r>
      <w:r>
        <w:t xml:space="preserve">(les deux sont souvent confondus en pratique) ?</w:t>
      </w:r>
    </w:p>
    <w:p>
      <w:pPr>
        <w:pStyle w:val="Compact"/>
        <w:numPr>
          <w:ilvl w:val="0"/>
          <w:numId w:val="1018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% d’avancement</w:t>
      </w:r>
      <w:r>
        <w:t xml:space="preserve"> </w:t>
      </w:r>
      <w:r>
        <w:t xml:space="preserve">est aujourd’hui un</w:t>
      </w:r>
      <w:r>
        <w:t xml:space="preserve"> </w:t>
      </w:r>
      <w:r>
        <w:rPr>
          <w:b/>
          <w:bCs/>
        </w:rPr>
        <w:t xml:space="preserve">jugement qualitatif unique par mesure</w:t>
      </w:r>
      <w:r>
        <w:t xml:space="preserve">. Faut-il le calculer comme moyenne pondérée des indicateurs (quand tous chiffrés), ou conserver le jugement ?</w:t>
      </w:r>
    </w:p>
    <w:p>
      <w:pPr>
        <w:pStyle w:val="Compact"/>
        <w:numPr>
          <w:ilvl w:val="0"/>
          <w:numId w:val="1019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indicateurs « texte »</w:t>
      </w:r>
      <w:r>
        <w:t xml:space="preserve"> </w:t>
      </w:r>
      <w:r>
        <w:t xml:space="preserve">(ex. « Statut décret : Rédaction → Publié ») affichent une transition mais pas de barre. Faut-il une iconographie dédiée (étapes 1/2/3) ?</w:t>
      </w:r>
    </w:p>
    <w:p>
      <w:pPr>
        <w:pStyle w:val="Compact"/>
        <w:numPr>
          <w:ilvl w:val="0"/>
          <w:numId w:val="1020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bloc « Données à brancher »</w:t>
      </w:r>
      <w:r>
        <w:t xml:space="preserve"> </w:t>
      </w:r>
      <w:r>
        <w:t xml:space="preserve">explicite mesure par mesure : utile pour la note technique, ou à déplacer dans une annexe ?</w:t>
      </w:r>
    </w:p>
    <w:p>
      <w:pPr>
        <w:pStyle w:val="Compact"/>
        <w:numPr>
          <w:ilvl w:val="0"/>
          <w:numId w:val="102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objectifs officiels</w:t>
      </w:r>
      <w:r>
        <w:t xml:space="preserve"> </w:t>
      </w:r>
      <w:r>
        <w:t xml:space="preserve">issus du DP sont-ils tous repris textuellement (sans paraphrase) ?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4" w:name="X2339ec0c11f17493875dff3263dd65f16e2c3cf"/>
    <w:p>
      <w:pPr>
        <w:pStyle w:val="Titre1"/>
      </w:pPr>
      <w:r>
        <w:t xml:space="preserve">5. Le contenu des 22 mesures (cibles &amp; échéances DP avril 2026)</w:t>
      </w:r>
    </w:p>
    <w:p>
      <w:pPr>
        <w:pStyle w:val="FirstParagraph"/>
      </w:pPr>
      <w:r>
        <w:t xml:space="preserve">Tous les chiffres et libellés ci-dessous sont</w:t>
      </w:r>
      <w:r>
        <w:t xml:space="preserve"> </w:t>
      </w:r>
      <w:r>
        <w:rPr>
          <w:b/>
          <w:bCs/>
        </w:rPr>
        <w:t xml:space="preserve">issus directement du dossier de presse</w:t>
      </w:r>
      <w:r>
        <w:t xml:space="preserve"> </w:t>
      </w:r>
      <w:r>
        <w:t xml:space="preserve">d’avril 2026.</w:t>
      </w:r>
    </w:p>
    <w:bookmarkStart w:id="59" w:name="transversal-3-mesures"/>
    <w:p>
      <w:pPr>
        <w:pStyle w:val="Titre2"/>
      </w:pPr>
      <w:r>
        <w:t xml:space="preserve">5.1 Transversal (3 mesures)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Échéance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M01</w:t>
            </w:r>
          </w:p>
        </w:tc>
        <w:tc>
          <w:tcPr/>
          <w:p>
            <w:pPr>
              <w:pStyle w:val="Compact"/>
            </w:pPr>
            <w:r>
              <w:t xml:space="preserve">Lancer 100 territoires d’électrification</w:t>
            </w:r>
          </w:p>
        </w:tc>
        <w:tc>
          <w:tcPr/>
          <w:p>
            <w:pPr>
              <w:pStyle w:val="Compact"/>
            </w:pPr>
            <w:r>
              <w:t xml:space="preserve">Été 2026</w:t>
            </w:r>
          </w:p>
        </w:tc>
        <w:tc>
          <w:tcPr/>
          <w:p>
            <w:pPr>
              <w:pStyle w:val="Compact"/>
            </w:pPr>
            <w:r>
              <w:t xml:space="preserve">100 territoires sélectionnés, accompagnés sur objectifs chiffrés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M02</w:t>
            </w:r>
          </w:p>
        </w:tc>
        <w:tc>
          <w:tcPr/>
          <w:p>
            <w:pPr>
              <w:pStyle w:val="Compact"/>
            </w:pPr>
            <w:r>
              <w:t xml:space="preserve">Faciliter l’accès au réseau électrique</w:t>
            </w:r>
          </w:p>
        </w:tc>
        <w:tc>
          <w:tcPr/>
          <w:p>
            <w:pPr>
              <w:pStyle w:val="Compact"/>
            </w:pPr>
            <w:r>
              <w:t xml:space="preserve">Avril → fin 2026</w:t>
            </w:r>
          </w:p>
        </w:tc>
        <w:tc>
          <w:tcPr/>
          <w:p>
            <w:pPr>
              <w:pStyle w:val="Compact"/>
            </w:pPr>
            <w:r>
              <w:t xml:space="preserve">Piquage 400 kV opérationnel, surréservation, « premier prêt premier servi » avant fin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M03</w:t>
            </w:r>
          </w:p>
        </w:tc>
        <w:tc>
          <w:tcPr/>
          <w:p>
            <w:pPr>
              <w:pStyle w:val="Compact"/>
            </w:pPr>
            <w:r>
              <w:t xml:space="preserve">Interdire la publicité pour les énergies fossiles</w:t>
            </w:r>
          </w:p>
        </w:tc>
        <w:tc>
          <w:tcPr/>
          <w:p>
            <w:pPr>
              <w:pStyle w:val="Compact"/>
            </w:pPr>
            <w:r>
              <w:t xml:space="preserve">Décret avant fin 2026</w:t>
            </w:r>
          </w:p>
        </w:tc>
        <w:tc>
          <w:tcPr/>
          <w:p>
            <w:pPr>
              <w:pStyle w:val="Compact"/>
            </w:pPr>
            <w:r>
              <w:t xml:space="preserve">Décret pris en application de la loi Climat &amp; Résilience (2021)</w:t>
            </w:r>
          </w:p>
        </w:tc>
      </w:tr>
    </w:tbl>
    <w:bookmarkEnd w:id="59"/>
    <w:bookmarkStart w:id="60" w:name="bâtiments-5-mesures"/>
    <w:p>
      <w:pPr>
        <w:pStyle w:val="Titre2"/>
      </w:pPr>
      <w:r>
        <w:t xml:space="preserve">5.2 Bâtiments (5 mesures)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Échéance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M04</w:t>
            </w:r>
          </w:p>
        </w:tc>
        <w:tc>
          <w:tcPr/>
          <w:p>
            <w:pPr>
              <w:pStyle w:val="Compact"/>
            </w:pPr>
            <w:r>
              <w:t xml:space="preserve">Offre « clés en main » de pompes à chaleur</w:t>
            </w:r>
          </w:p>
        </w:tc>
        <w:tc>
          <w:tcPr/>
          <w:p>
            <w:pPr>
              <w:pStyle w:val="Compact"/>
            </w:pPr>
            <w:r>
              <w:t xml:space="preserve">Labellisation automne 2026</w:t>
            </w:r>
          </w:p>
        </w:tc>
        <w:tc>
          <w:tcPr/>
          <w:p>
            <w:pPr>
              <w:pStyle w:val="Compact"/>
            </w:pPr>
            <w:r>
              <w:t xml:space="preserve">25 000 ménages bénéficiaires court terme · 1 M PAC en 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M05</w:t>
            </w:r>
          </w:p>
        </w:tc>
        <w:tc>
          <w:tcPr/>
          <w:p>
            <w:pPr>
              <w:pStyle w:val="Compact"/>
            </w:pPr>
            <w:r>
              <w:t xml:space="preserve">Fin du gaz dans la construction neuve</w:t>
            </w:r>
          </w:p>
        </w:tc>
        <w:tc>
          <w:tcPr/>
          <w:p>
            <w:pPr>
              <w:pStyle w:val="Compact"/>
            </w:pPr>
            <w:r>
              <w:t xml:space="preserve">1er janvier 2027 (logements)</w:t>
            </w:r>
          </w:p>
        </w:tc>
        <w:tc>
          <w:tcPr/>
          <w:p>
            <w:pPr>
              <w:pStyle w:val="Compact"/>
            </w:pPr>
            <w:r>
              <w:t xml:space="preserve">Aucun bâtiment neuf consommant du gaz dès 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M06</w:t>
            </w:r>
          </w:p>
        </w:tc>
        <w:tc>
          <w:tcPr/>
          <w:p>
            <w:pPr>
              <w:pStyle w:val="Compact"/>
            </w:pPr>
            <w:r>
              <w:t xml:space="preserve">Flécher aides rénovation vers l’électrification</w:t>
            </w:r>
          </w:p>
        </w:tc>
        <w:tc>
          <w:tcPr/>
          <w:p>
            <w:pPr>
              <w:pStyle w:val="Compact"/>
            </w:pPr>
            <w:r>
              <w:t xml:space="preserve">1er sept 2026 (MPR) · 1er janv 2027 (éco-PLS)</w:t>
            </w:r>
          </w:p>
        </w:tc>
        <w:tc>
          <w:tcPr/>
          <w:p>
            <w:pPr>
              <w:pStyle w:val="Compact"/>
            </w:pPr>
            <w:r>
              <w:t xml:space="preserve">Plus aucune rénovation d’ampleur MPR conservant un chauffage gaz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M07</w:t>
            </w:r>
          </w:p>
        </w:tc>
        <w:tc>
          <w:tcPr/>
          <w:p>
            <w:pPr>
              <w:pStyle w:val="Compact"/>
            </w:pPr>
            <w:r>
              <w:t xml:space="preserve">Rendre les bâtiments de l’État exemplaires</w:t>
            </w:r>
          </w:p>
        </w:tc>
        <w:tc>
          <w:tcPr/>
          <w:p>
            <w:pPr>
              <w:pStyle w:val="Compact"/>
            </w:pPr>
            <w:r>
              <w:t xml:space="preserve">Décret été 2026</w:t>
            </w:r>
          </w:p>
        </w:tc>
        <w:tc>
          <w:tcPr/>
          <w:p>
            <w:pPr>
              <w:pStyle w:val="Compact"/>
            </w:pPr>
            <w:r>
              <w:t xml:space="preserve">~80 GWh/an de gaz évités · 20 sites prioritaires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M08</w:t>
            </w:r>
          </w:p>
        </w:tc>
        <w:tc>
          <w:tcPr/>
          <w:p>
            <w:pPr>
              <w:pStyle w:val="Compact"/>
            </w:pPr>
            <w:r>
              <w:t xml:space="preserve">Limiter les nouveaux raccordements gaz pour les bâtiments</w:t>
            </w:r>
          </w:p>
        </w:tc>
        <w:tc>
          <w:tcPr/>
          <w:p>
            <w:pPr>
              <w:pStyle w:val="Compact"/>
            </w:pPr>
            <w:r>
              <w:t xml:space="preserve">1er janvier 2027</w:t>
            </w:r>
          </w:p>
        </w:tc>
        <w:tc>
          <w:tcPr/>
          <w:p>
            <w:pPr>
              <w:pStyle w:val="Compact"/>
            </w:pPr>
            <w:r>
              <w:t xml:space="preserve">Aucune nouvelle consommation de gaz pour les bâtiments à terme</w:t>
            </w:r>
          </w:p>
        </w:tc>
      </w:tr>
    </w:tbl>
    <w:bookmarkEnd w:id="60"/>
    <w:bookmarkStart w:id="61" w:name="mobilités-6-mesures"/>
    <w:p>
      <w:pPr>
        <w:pStyle w:val="Titre2"/>
      </w:pPr>
      <w:r>
        <w:t xml:space="preserve">5.3 Mobilités (6 mesures)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Échéance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M09</w:t>
            </w:r>
          </w:p>
        </w:tc>
        <w:tc>
          <w:tcPr/>
          <w:p>
            <w:pPr>
              <w:pStyle w:val="Compact"/>
            </w:pPr>
            <w:r>
              <w:t xml:space="preserve">50 000 VE en location sociale (« leasing »)</w:t>
            </w:r>
          </w:p>
        </w:tc>
        <w:tc>
          <w:tcPr/>
          <w:p>
            <w:pPr>
              <w:pStyle w:val="Compact"/>
            </w:pPr>
            <w:r>
              <w:t xml:space="preserve">Mi-juillet 2026 (ouverture)</w:t>
            </w:r>
          </w:p>
        </w:tc>
        <w:tc>
          <w:tcPr/>
          <w:p>
            <w:pPr>
              <w:pStyle w:val="Compact"/>
            </w:pPr>
            <w:r>
              <w:t xml:space="preserve">50 000 VE loués à des ménages modestes en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Soutien à l’achat pour les « gros rouleurs »</w:t>
            </w:r>
          </w:p>
        </w:tc>
        <w:tc>
          <w:tcPr/>
          <w:p>
            <w:pPr>
              <w:pStyle w:val="Compact"/>
            </w:pPr>
            <w:r>
              <w:t xml:space="preserve">Sept 2026 → 31 déc 2026</w:t>
            </w:r>
          </w:p>
        </w:tc>
        <w:tc>
          <w:tcPr/>
          <w:p>
            <w:pPr>
              <w:pStyle w:val="Compact"/>
            </w:pPr>
            <w:r>
              <w:t xml:space="preserve">50 000 VE additionnels achetés d’ici fin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t xml:space="preserve">Renforcer le soutien à l’achat de VUL électriques</w:t>
            </w:r>
          </w:p>
        </w:tc>
        <w:tc>
          <w:tcPr/>
          <w:p>
            <w:pPr>
              <w:pStyle w:val="Compact"/>
            </w:pPr>
            <w:r>
              <w:t xml:space="preserve">1er juin 2026 (fiches CEE)</w:t>
            </w:r>
          </w:p>
        </w:tc>
        <w:tc>
          <w:tcPr/>
          <w:p>
            <w:pPr>
              <w:pStyle w:val="Compact"/>
            </w:pPr>
            <w:r>
              <w:t xml:space="preserve">50 000 VUL VE en 2026 · 70 000 en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Renforcer le soutien à l’achat de poids lourds électriques</w:t>
            </w:r>
          </w:p>
        </w:tc>
        <w:tc>
          <w:tcPr/>
          <w:p>
            <w:pPr>
              <w:pStyle w:val="Compact"/>
            </w:pPr>
            <w:r>
              <w:t xml:space="preserve">1er juin 2026 (fiches CEE)</w:t>
            </w:r>
          </w:p>
        </w:tc>
        <w:tc>
          <w:tcPr/>
          <w:p>
            <w:pPr>
              <w:pStyle w:val="Compact"/>
            </w:pPr>
            <w:r>
              <w:t xml:space="preserve">2 000 PL neufs VE en 2026 · 4 000 en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</w:t>
            </w:r>
          </w:p>
        </w:tc>
        <w:tc>
          <w:tcPr/>
          <w:p>
            <w:pPr>
              <w:pStyle w:val="Compact"/>
            </w:pPr>
            <w:r>
              <w:t xml:space="preserve">Rendre les flottes de l’État exemplaires</w:t>
            </w:r>
          </w:p>
        </w:tc>
        <w:tc>
          <w:tcPr/>
          <w:p>
            <w:pPr>
              <w:pStyle w:val="Compact"/>
            </w:pPr>
            <w:r>
              <w:t xml:space="preserve">1er janvier 2027 (circulaire)</w:t>
            </w:r>
          </w:p>
        </w:tc>
        <w:tc>
          <w:tcPr/>
          <w:p>
            <w:pPr>
              <w:pStyle w:val="Compact"/>
            </w:pPr>
            <w:r>
              <w:t xml:space="preserve">100 % renouvellements VE dès que possible · ~60 000 véhicules concernés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M14</w:t>
            </w:r>
          </w:p>
        </w:tc>
        <w:tc>
          <w:tcPr/>
          <w:p>
            <w:pPr>
              <w:pStyle w:val="Compact"/>
            </w:pPr>
            <w:r>
              <w:t xml:space="preserve">Planifier les bornes de recharge sur le réseau routier national</w:t>
            </w:r>
          </w:p>
        </w:tc>
        <w:tc>
          <w:tcPr/>
          <w:p>
            <w:pPr>
              <w:pStyle w:val="Compact"/>
            </w:pPr>
            <w:r>
              <w:t xml:space="preserve">Schéma directeur actif · cibles 2035</w:t>
            </w:r>
          </w:p>
        </w:tc>
        <w:tc>
          <w:tcPr/>
          <w:p>
            <w:pPr>
              <w:pStyle w:val="Compact"/>
            </w:pPr>
            <w:r>
              <w:t xml:space="preserve">22 000 points VL sur 900 aires (×5) · 8 000 points PL sur 560 aires</w:t>
            </w:r>
          </w:p>
        </w:tc>
      </w:tr>
    </w:tbl>
    <w:bookmarkEnd w:id="61"/>
    <w:bookmarkStart w:id="63" w:name="X84d364843d5b155c66ee8e44151ab93bb4b2ade"/>
    <w:p>
      <w:pPr>
        <w:pStyle w:val="Titre2"/>
      </w:pPr>
      <w:r>
        <w:t xml:space="preserve">5.4 Industrie, artisanat, agriculture (8 mesures)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Échéance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M15</w:t>
            </w:r>
          </w:p>
        </w:tc>
        <w:tc>
          <w:tcPr/>
          <w:p>
            <w:pPr>
              <w:pStyle w:val="Compact"/>
            </w:pPr>
            <w:r>
              <w:t xml:space="preserve">Soutenir l’électrification des artisans</w:t>
            </w:r>
          </w:p>
        </w:tc>
        <w:tc>
          <w:tcPr/>
          <w:p>
            <w:pPr>
              <w:pStyle w:val="Compact"/>
            </w:pPr>
            <w:r>
              <w:t xml:space="preserve">Bpifrance 1er mai 2026 · AAP été 2026</w:t>
            </w:r>
          </w:p>
        </w:tc>
        <w:tc>
          <w:tcPr/>
          <w:p>
            <w:pPr>
              <w:pStyle w:val="Compact"/>
            </w:pPr>
            <w:r>
              <w:t xml:space="preserve">1 000 projets artisans (DECARB FLASH, 16 M€)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M16</w:t>
            </w:r>
          </w:p>
        </w:tc>
        <w:tc>
          <w:tcPr/>
          <w:p>
            <w:pPr>
              <w:pStyle w:val="Compact"/>
            </w:pPr>
            <w:r>
              <w:t xml:space="preserve">Accompagner l’électrification des engins de chantier</w:t>
            </w:r>
          </w:p>
        </w:tc>
        <w:tc>
          <w:tcPr/>
          <w:p>
            <w:pPr>
              <w:pStyle w:val="Compact"/>
            </w:pPr>
            <w:r>
              <w:t xml:space="preserve">1re relève juin 2026 (10 M€) · 2e relève fin 2026 (40 M€)</w:t>
            </w:r>
          </w:p>
        </w:tc>
        <w:tc>
          <w:tcPr/>
          <w:p>
            <w:pPr>
              <w:pStyle w:val="Compact"/>
            </w:pPr>
            <w:r>
              <w:t xml:space="preserve">1 000 engins fabriqués en Europe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M17</w:t>
            </w:r>
          </w:p>
        </w:tc>
        <w:tc>
          <w:tcPr/>
          <w:p>
            <w:pPr>
              <w:pStyle w:val="Compact"/>
            </w:pPr>
            <w:r>
              <w:t xml:space="preserve">Développer l’offre d’engins agricoles électriques</w:t>
            </w:r>
          </w:p>
        </w:tc>
        <w:tc>
          <w:tcPr/>
          <w:p>
            <w:pPr>
              <w:pStyle w:val="Compact"/>
            </w:pPr>
            <w:r>
              <w:t xml:space="preserve">AAP en cours · 2e relève fin 2026</w:t>
            </w:r>
          </w:p>
        </w:tc>
        <w:tc>
          <w:tcPr/>
          <w:p>
            <w:pPr>
              <w:pStyle w:val="Compact"/>
            </w:pPr>
            <w:r>
              <w:t xml:space="preserve">150 engins agricoles (phase exploratoire)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Pompes à chaleur pour serres maraîchères et horticoles</w:t>
            </w:r>
          </w:p>
        </w:tc>
        <w:tc>
          <w:tcPr/>
          <w:p>
            <w:pPr>
              <w:pStyle w:val="Compact"/>
            </w:pPr>
            <w:r>
              <w:t xml:space="preserve">Révision fiche CEE d’ici sept 2026</w:t>
            </w:r>
          </w:p>
        </w:tc>
        <w:tc>
          <w:tcPr/>
          <w:p>
            <w:pPr>
              <w:pStyle w:val="Compact"/>
            </w:pPr>
            <w:r>
              <w:t xml:space="preserve">400 ha de serres équipées en PAC d’ici 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M19</w:t>
            </w:r>
          </w:p>
        </w:tc>
        <w:tc>
          <w:tcPr/>
          <w:p>
            <w:pPr>
              <w:pStyle w:val="Compact"/>
            </w:pPr>
            <w:r>
              <w:t xml:space="preserve">Favoriser l’électrification des navires de pêche</w:t>
            </w:r>
          </w:p>
        </w:tc>
        <w:tc>
          <w:tcPr/>
          <w:p>
            <w:pPr>
              <w:pStyle w:val="Compact"/>
            </w:pPr>
            <w:r>
              <w:t xml:space="preserve">Fiche CEE déployée fin 2026</w:t>
            </w:r>
          </w:p>
        </w:tc>
        <w:tc>
          <w:tcPr/>
          <w:p>
            <w:pPr>
              <w:pStyle w:val="Compact"/>
            </w:pPr>
            <w:r>
              <w:t xml:space="preserve">500 navires de pêche équipés d’ici 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M20</w:t>
            </w:r>
          </w:p>
        </w:tc>
        <w:tc>
          <w:tcPr/>
          <w:p>
            <w:pPr>
              <w:pStyle w:val="Compact"/>
            </w:pPr>
            <w:r>
              <w:t xml:space="preserve">Renforcer les aides PAC / chaudières élec. / CMV industrielles</w:t>
            </w:r>
          </w:p>
        </w:tc>
        <w:tc>
          <w:tcPr/>
          <w:p>
            <w:pPr>
              <w:pStyle w:val="Compact"/>
            </w:pPr>
            <w:r>
              <w:t xml:space="preserve">Mai (PAC) · Juillet (chaudières) · Octobre (CMV) 2026</w:t>
            </w:r>
          </w:p>
        </w:tc>
        <w:tc>
          <w:tcPr/>
          <w:p>
            <w:pPr>
              <w:pStyle w:val="Compact"/>
            </w:pPr>
            <w:r>
              <w:t xml:space="preserve">~10 TWhc/an pour les PAC industrielles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M21</w:t>
            </w:r>
          </w:p>
        </w:tc>
        <w:tc>
          <w:tcPr/>
          <w:p>
            <w:pPr>
              <w:pStyle w:val="Compact"/>
            </w:pPr>
            <w:r>
              <w:t xml:space="preserve">Décarboner et électrifier les grands sites industriels</w:t>
            </w:r>
          </w:p>
        </w:tc>
        <w:tc>
          <w:tcPr/>
          <w:p>
            <w:pPr>
              <w:pStyle w:val="Compact"/>
            </w:pPr>
            <w:r>
              <w:t xml:space="preserve">Lancement AAP été 2026 · lauréats fin 2026</w:t>
            </w:r>
          </w:p>
        </w:tc>
        <w:tc>
          <w:tcPr/>
          <w:p>
            <w:pPr>
              <w:pStyle w:val="Compact"/>
            </w:pPr>
            <w:r>
              <w:t xml:space="preserve">~2 TWh électrifiés d’ici 2030 (AO GPID + DECARB-IND)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M22</w:t>
            </w:r>
          </w:p>
        </w:tc>
        <w:tc>
          <w:tcPr/>
          <w:p>
            <w:pPr>
              <w:pStyle w:val="Compact"/>
            </w:pPr>
            <w:r>
              <w:t xml:space="preserve">Nouveaux contrats d’électricité long terme (8 à 10 ans)</w:t>
            </w:r>
          </w:p>
        </w:tc>
        <w:tc>
          <w:tcPr/>
          <w:p>
            <w:pPr>
              <w:pStyle w:val="Compact"/>
            </w:pPr>
            <w:r>
              <w:t xml:space="preserve">Mise en vente premiers volumes 2027</w:t>
            </w:r>
          </w:p>
        </w:tc>
        <w:tc>
          <w:tcPr/>
          <w:p>
            <w:pPr>
              <w:pStyle w:val="Compact"/>
            </w:pPr>
            <w:r>
              <w:t xml:space="preserve">Dizaines de MW, puis 1 GW dans les prochaines années</w:t>
            </w:r>
          </w:p>
        </w:tc>
      </w:tr>
    </w:tbl>
    <w:bookmarkStart w:id="62" w:name="points-à-valider-sur-cette-section"/>
    <w:p>
      <w:pPr>
        <w:pStyle w:val="Titre3"/>
      </w:pPr>
      <w:r>
        <w:t xml:space="preserve">Points à valider sur cette section</w:t>
      </w:r>
    </w:p>
    <w:p>
      <w:pPr>
        <w:pStyle w:val="Compact"/>
        <w:numPr>
          <w:ilvl w:val="0"/>
          <w:numId w:val="1022"/>
        </w:numPr>
      </w:pPr>
      <w:r>
        <w:t xml:space="preserve">Tous les libellés sont-ils</w:t>
      </w:r>
      <w:r>
        <w:t xml:space="preserve"> </w:t>
      </w:r>
      <w:r>
        <w:rPr>
          <w:b/>
          <w:bCs/>
        </w:rPr>
        <w:t xml:space="preserve">identiques au DP officiel</w:t>
      </w:r>
      <w:r>
        <w:t xml:space="preserve"> </w:t>
      </w:r>
      <w:r>
        <w:t xml:space="preserve">(vérification verbatim) ?</w:t>
      </w:r>
    </w:p>
    <w:p>
      <w:pPr>
        <w:pStyle w:val="Compact"/>
        <w:numPr>
          <w:ilvl w:val="0"/>
          <w:numId w:val="1023"/>
        </w:numPr>
      </w:pPr>
      <w:r>
        <w:t xml:space="preserve">Y a-t-il eu des</w:t>
      </w:r>
      <w:r>
        <w:t xml:space="preserve"> </w:t>
      </w:r>
      <w:r>
        <w:rPr>
          <w:b/>
          <w:bCs/>
        </w:rPr>
        <w:t xml:space="preserve">fusions / scissions</w:t>
      </w:r>
      <w:r>
        <w:t xml:space="preserve"> </w:t>
      </w:r>
      <w:r>
        <w:t xml:space="preserve">depuis l’annonce du DP (avril 2026) ? Si oui, comment versionner ?</w:t>
      </w:r>
    </w:p>
    <w:p>
      <w:pPr>
        <w:pStyle w:val="Compact"/>
        <w:numPr>
          <w:ilvl w:val="0"/>
          <w:numId w:val="1024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dates précises</w:t>
      </w:r>
      <w:r>
        <w:t xml:space="preserve"> </w:t>
      </w:r>
      <w:r>
        <w:t xml:space="preserve">(1er juin 2026 pour M11/M12, 1er janvier 2027 pour M05/M08, etc.) sont-elles consolidées par la DGEC ?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6" w:name="X10f64600967861ae5703b6dace4f487780f604f"/>
    <w:p>
      <w:pPr>
        <w:pStyle w:val="Titre1"/>
      </w:pPr>
      <w:r>
        <w:t xml:space="preserve">6. Sources de données qui permettraient un suivi temps réel</w:t>
      </w:r>
    </w:p>
    <w:p>
      <w:pPr>
        <w:pStyle w:val="FirstParagraph"/>
      </w:pPr>
      <w:r>
        <w:t xml:space="preserve">Le tableau ci-dessous, présent dans l’outil sous l’intitulé « Sources de données qui permettraient un suivi temps réel », recense les</w:t>
      </w:r>
      <w:r>
        <w:t xml:space="preserve"> </w:t>
      </w:r>
      <w:r>
        <w:rPr>
          <w:b/>
          <w:bCs/>
        </w:rPr>
        <w:t xml:space="preserve">13 familles de données</w:t>
      </w:r>
      <w:r>
        <w:t xml:space="preserve"> </w:t>
      </w:r>
      <w:r>
        <w:t xml:space="preserve">identifiées comme nécessaires pour piloter en temps réel les 22 mesures.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Famille</w:t>
            </w:r>
          </w:p>
        </w:tc>
        <w:tc>
          <w:tcPr/>
          <w:p>
            <w:pPr>
              <w:pStyle w:val="Compact"/>
            </w:pPr>
            <w:r>
              <w:t xml:space="preserve">Producteur</w:t>
            </w:r>
          </w:p>
        </w:tc>
        <w:tc>
          <w:tcPr/>
          <w:p>
            <w:pPr>
              <w:pStyle w:val="Compact"/>
            </w:pPr>
            <w:r>
              <w:t xml:space="preserve">Format / accès</w:t>
            </w:r>
          </w:p>
        </w:tc>
        <w:tc>
          <w:tcPr/>
          <w:p>
            <w:pPr>
              <w:pStyle w:val="Compact"/>
            </w:pPr>
            <w:r>
              <w:t xml:space="preserve">Mesures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Aides à l’achat de véhicules (VP/VUL/PL)</w:t>
            </w:r>
          </w:p>
        </w:tc>
        <w:tc>
          <w:tcPr/>
          <w:p>
            <w:pPr>
              <w:pStyle w:val="Compact"/>
            </w:pPr>
            <w:r>
              <w:t xml:space="preserve">ASP, DGEC</w:t>
            </w:r>
          </w:p>
        </w:tc>
        <w:tc>
          <w:tcPr/>
          <w:p>
            <w:pPr>
              <w:pStyle w:val="Compact"/>
            </w:pPr>
            <w:r>
              <w:t xml:space="preserve">Pas d’API publique aujourd’hui</w:t>
            </w:r>
          </w:p>
        </w:tc>
        <w:tc>
          <w:tcPr/>
          <w:p>
            <w:pPr>
              <w:pStyle w:val="Compact"/>
            </w:pPr>
            <w:r>
              <w:t xml:space="preserve">M09, M10, M11, M12, M13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Immatriculations VE</w:t>
            </w:r>
          </w:p>
        </w:tc>
        <w:tc>
          <w:tcPr/>
          <w:p>
            <w:pPr>
              <w:pStyle w:val="Compact"/>
            </w:pPr>
            <w:r>
              <w:t xml:space="preserve">SDES (MTE), AAA Data</w:t>
            </w:r>
          </w:p>
        </w:tc>
        <w:tc>
          <w:tcPr/>
          <w:p>
            <w:pPr>
              <w:pStyle w:val="Compact"/>
            </w:pPr>
            <w:r>
              <w:t xml:space="preserve">Bulletin SDES mensuel · data.gouv.fr</w:t>
            </w:r>
          </w:p>
        </w:tc>
        <w:tc>
          <w:tcPr/>
          <w:p>
            <w:pPr>
              <w:pStyle w:val="Compact"/>
            </w:pPr>
            <w:r>
              <w:t xml:space="preserve">M09, M10, M11, M12, M13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Bornes de recharge publiques</w:t>
            </w:r>
          </w:p>
        </w:tc>
        <w:tc>
          <w:tcPr/>
          <w:p>
            <w:pPr>
              <w:pStyle w:val="Compact"/>
            </w:pPr>
            <w:r>
              <w:t xml:space="preserve">Avere-France / GIREVE / IRVE</w:t>
            </w:r>
          </w:p>
        </w:tc>
        <w:tc>
          <w:tcPr/>
          <w:p>
            <w:pPr>
              <w:pStyle w:val="Compact"/>
            </w:pPr>
            <w:r>
              <w:t xml:space="preserve">Base IRVE data.gouv.fr (quotidien)</w:t>
            </w:r>
          </w:p>
        </w:tc>
        <w:tc>
          <w:tcPr/>
          <w:p>
            <w:pPr>
              <w:pStyle w:val="Compact"/>
            </w:pPr>
            <w:r>
              <w:t xml:space="preserve">M14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Pompes à chaleur installées</w:t>
            </w:r>
          </w:p>
        </w:tc>
        <w:tc>
          <w:tcPr/>
          <w:p>
            <w:pPr>
              <w:pStyle w:val="Compact"/>
            </w:pPr>
            <w:r>
              <w:t xml:space="preserve">Observ’ER, Uniclima, AFPAC</w:t>
            </w:r>
          </w:p>
        </w:tc>
        <w:tc>
          <w:tcPr/>
          <w:p>
            <w:pPr>
              <w:pStyle w:val="Compact"/>
            </w:pPr>
            <w:r>
              <w:t xml:space="preserve">Études annuelles ; ou registre CEE</w:t>
            </w:r>
          </w:p>
        </w:tc>
        <w:tc>
          <w:tcPr/>
          <w:p>
            <w:pPr>
              <w:pStyle w:val="Compact"/>
            </w:pPr>
            <w:r>
              <w:t xml:space="preserve">M04, M18, M20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Certificats d’économie d’énergie (CEE)</w:t>
            </w:r>
          </w:p>
        </w:tc>
        <w:tc>
          <w:tcPr/>
          <w:p>
            <w:pPr>
              <w:pStyle w:val="Compact"/>
            </w:pPr>
            <w:r>
              <w:t xml:space="preserve">DGEC — registre EMMY (PNCEE)</w:t>
            </w:r>
          </w:p>
        </w:tc>
        <w:tc>
          <w:tcPr/>
          <w:p>
            <w:pPr>
              <w:pStyle w:val="Compact"/>
            </w:pPr>
            <w:r>
              <w:t xml:space="preserve">Export public mensuel</w:t>
            </w:r>
          </w:p>
        </w:tc>
        <w:tc>
          <w:tcPr/>
          <w:p>
            <w:pPr>
              <w:pStyle w:val="Compact"/>
            </w:pPr>
            <w:r>
              <w:t xml:space="preserve">M04, M11, M12, M15, M16, M17, M18, M19, M20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MaPrimeRénov’ &amp; rénovation</w:t>
            </w:r>
          </w:p>
        </w:tc>
        <w:tc>
          <w:tcPr/>
          <w:p>
            <w:pPr>
              <w:pStyle w:val="Compact"/>
            </w:pPr>
            <w:r>
              <w:t xml:space="preserve">ANAH</w:t>
            </w:r>
          </w:p>
        </w:tc>
        <w:tc>
          <w:tcPr/>
          <w:p>
            <w:pPr>
              <w:pStyle w:val="Compact"/>
            </w:pPr>
            <w:r>
              <w:t xml:space="preserve">Bilan trimestriel</w:t>
            </w:r>
          </w:p>
        </w:tc>
        <w:tc>
          <w:tcPr/>
          <w:p>
            <w:pPr>
              <w:pStyle w:val="Compact"/>
            </w:pPr>
            <w:r>
              <w:t xml:space="preserve">M06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Bâtiments / chaudières installées</w:t>
            </w:r>
          </w:p>
        </w:tc>
        <w:tc>
          <w:tcPr/>
          <w:p>
            <w:pPr>
              <w:pStyle w:val="Compact"/>
            </w:pPr>
            <w:r>
              <w:t xml:space="preserve">Sit@del, CSTB, Observatoire BBC</w:t>
            </w:r>
          </w:p>
        </w:tc>
        <w:tc>
          <w:tcPr/>
          <w:p>
            <w:pPr>
              <w:pStyle w:val="Compact"/>
            </w:pPr>
            <w:r>
              <w:t xml:space="preserve">Sit@del (PC) ; pas de granularité énergie sans croisement DPE</w:t>
            </w:r>
          </w:p>
        </w:tc>
        <w:tc>
          <w:tcPr/>
          <w:p>
            <w:pPr>
              <w:pStyle w:val="Compact"/>
            </w:pPr>
            <w:r>
              <w:t xml:space="preserve">M05, M06, M07, M08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Raccordement réseau / file d’attente</w:t>
            </w:r>
          </w:p>
        </w:tc>
        <w:tc>
          <w:tcPr/>
          <w:p>
            <w:pPr>
              <w:pStyle w:val="Compact"/>
            </w:pPr>
            <w:r>
              <w:t xml:space="preserve">RTE, Enedis</w:t>
            </w:r>
          </w:p>
        </w:tc>
        <w:tc>
          <w:tcPr/>
          <w:p>
            <w:pPr>
              <w:pStyle w:val="Compact"/>
            </w:pPr>
            <w:r>
              <w:t xml:space="preserve">Bilan prévisionnel RTE annuel · opendata.rte-france.com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Décrets, arrêtés, fiches CEE</w:t>
            </w:r>
          </w:p>
        </w:tc>
        <w:tc>
          <w:tcPr/>
          <w:p>
            <w:pPr>
              <w:pStyle w:val="Compact"/>
            </w:pPr>
            <w:r>
              <w:t xml:space="preserve">Légifrance, JORF</w:t>
            </w:r>
          </w:p>
        </w:tc>
        <w:tc>
          <w:tcPr/>
          <w:p>
            <w:pPr>
              <w:pStyle w:val="Compact"/>
            </w:pPr>
            <w:r>
              <w:t xml:space="preserve">API Légifrance (piste.gouv.fr), flux RSS JO</w:t>
            </w:r>
          </w:p>
        </w:tc>
        <w:tc>
          <w:tcPr/>
          <w:p>
            <w:pPr>
              <w:pStyle w:val="Compact"/>
            </w:pPr>
            <w:r>
              <w:t xml:space="preserve">M03, M05, M06, M07, M08, M11, M12, M13, M18, M19, M20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Bâtiments de l’État</w:t>
            </w:r>
          </w:p>
        </w:tc>
        <w:tc>
          <w:tcPr/>
          <w:p>
            <w:pPr>
              <w:pStyle w:val="Compact"/>
            </w:pPr>
            <w:r>
              <w:t xml:space="preserve">DIE (Direction de l’immobilier de l’État), OSFi</w:t>
            </w:r>
          </w:p>
        </w:tc>
        <w:tc>
          <w:tcPr/>
          <w:p>
            <w:pPr>
              <w:pStyle w:val="Compact"/>
            </w:pPr>
            <w:r>
              <w:t xml:space="preserve">Pas de portail public — données internes</w:t>
            </w:r>
          </w:p>
        </w:tc>
        <w:tc>
          <w:tcPr/>
          <w:p>
            <w:pPr>
              <w:pStyle w:val="Compact"/>
            </w:pPr>
            <w:r>
              <w:t xml:space="preserve">M07, M13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Appels à projets décarbonation industrie</w:t>
            </w:r>
          </w:p>
        </w:tc>
        <w:tc>
          <w:tcPr/>
          <w:p>
            <w:pPr>
              <w:pStyle w:val="Compact"/>
            </w:pPr>
            <w:r>
              <w:t xml:space="preserve">Ademe, DGE</w:t>
            </w:r>
          </w:p>
        </w:tc>
        <w:tc>
          <w:tcPr/>
          <w:p>
            <w:pPr>
              <w:pStyle w:val="Compact"/>
            </w:pPr>
            <w:r>
              <w:t xml:space="preserve">Annonces des lauréats publiées au cas par cas</w:t>
            </w:r>
          </w:p>
        </w:tc>
        <w:tc>
          <w:tcPr/>
          <w:p>
            <w:pPr>
              <w:pStyle w:val="Compact"/>
            </w:pPr>
            <w:r>
              <w:t xml:space="preserve">M15, M16, M21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Engins agricoles, navires de pêche</w:t>
            </w:r>
          </w:p>
        </w:tc>
        <w:tc>
          <w:tcPr/>
          <w:p>
            <w:pPr>
              <w:pStyle w:val="Compact"/>
            </w:pPr>
            <w:r>
              <w:t xml:space="preserve">Ministère Agriculture, FranceAgriMer, DPMA</w:t>
            </w:r>
          </w:p>
        </w:tc>
        <w:tc>
          <w:tcPr/>
          <w:p>
            <w:pPr>
              <w:pStyle w:val="Compact"/>
            </w:pPr>
            <w:r>
              <w:t xml:space="preserve">Pas de portail dédié — à construire</w:t>
            </w:r>
          </w:p>
        </w:tc>
        <w:tc>
          <w:tcPr/>
          <w:p>
            <w:pPr>
              <w:pStyle w:val="Compact"/>
            </w:pPr>
            <w:r>
              <w:t xml:space="preserve">M17, M19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Territoires d’électrification</w:t>
            </w:r>
          </w:p>
        </w:tc>
        <w:tc>
          <w:tcPr/>
          <w:p>
            <w:pPr>
              <w:pStyle w:val="Compact"/>
            </w:pPr>
            <w:r>
              <w:t xml:space="preserve">DGEC, ANCT</w:t>
            </w:r>
          </w:p>
        </w:tc>
        <w:tc>
          <w:tcPr/>
          <w:p>
            <w:pPr>
              <w:pStyle w:val="Compact"/>
            </w:pPr>
            <w:r>
              <w:t xml:space="preserve">Liste à publier sur ecologie.gouv.fr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Contrats d’électricité long terme</w:t>
            </w:r>
          </w:p>
        </w:tc>
        <w:tc>
          <w:tcPr/>
          <w:p>
            <w:pPr>
              <w:pStyle w:val="Compact"/>
            </w:pPr>
            <w:r>
              <w:t xml:space="preserve">CRE, EDF</w:t>
            </w:r>
          </w:p>
        </w:tc>
        <w:tc>
          <w:tcPr/>
          <w:p>
            <w:pPr>
              <w:pStyle w:val="Compact"/>
            </w:pPr>
            <w:r>
              <w:t xml:space="preserve">Annonces ad-hoc, à formaliser</w:t>
            </w:r>
          </w:p>
        </w:tc>
        <w:tc>
          <w:tcPr/>
          <w:p>
            <w:pPr>
              <w:pStyle w:val="Compact"/>
            </w:pPr>
            <w:r>
              <w:t xml:space="preserve">M22</w:t>
            </w:r>
          </w:p>
        </w:tc>
      </w:tr>
    </w:tbl>
    <w:bookmarkStart w:id="65" w:name="points-à-valider-sur-cette-section-1"/>
    <w:p>
      <w:pPr>
        <w:pStyle w:val="Titre3"/>
      </w:pPr>
      <w:r>
        <w:t xml:space="preserve">Points à valider sur cette section</w:t>
      </w:r>
    </w:p>
    <w:p>
      <w:pPr>
        <w:pStyle w:val="Compact"/>
        <w:numPr>
          <w:ilvl w:val="0"/>
          <w:numId w:val="1025"/>
        </w:numPr>
      </w:pPr>
      <w:r>
        <w:t xml:space="preserve">Cette liste de</w:t>
      </w:r>
      <w:r>
        <w:t xml:space="preserve"> </w:t>
      </w:r>
      <w:r>
        <w:rPr>
          <w:b/>
          <w:bCs/>
        </w:rPr>
        <w:t xml:space="preserve">13 familles</w:t>
      </w:r>
      <w:r>
        <w:t xml:space="preserve"> </w:t>
      </w:r>
      <w:r>
        <w:t xml:space="preserve">est-elle exhaustive ?</w:t>
      </w:r>
    </w:p>
    <w:p>
      <w:pPr>
        <w:pStyle w:val="Compact"/>
        <w:numPr>
          <w:ilvl w:val="0"/>
          <w:numId w:val="1026"/>
        </w:numPr>
      </w:pPr>
      <w:r>
        <w:t xml:space="preserve">Pour chaque famille, qui (DGEC ? prestataire ?) prend en charge l’intégration ?</w:t>
      </w:r>
    </w:p>
    <w:p>
      <w:pPr>
        <w:pStyle w:val="Compact"/>
        <w:numPr>
          <w:ilvl w:val="0"/>
          <w:numId w:val="1027"/>
        </w:numPr>
      </w:pPr>
      <w:r>
        <w:t xml:space="preserve">Quelles familles sont</w:t>
      </w:r>
      <w:r>
        <w:t xml:space="preserve"> </w:t>
      </w:r>
      <w:r>
        <w:rPr>
          <w:b/>
          <w:bCs/>
        </w:rPr>
        <w:t xml:space="preserve">prioritaires</w:t>
      </w:r>
      <w:r>
        <w:t xml:space="preserve"> </w:t>
      </w:r>
      <w:r>
        <w:t xml:space="preserve">pour un MVP de pilotage réel ?</w:t>
      </w:r>
    </w:p>
    <w:p>
      <w:pPr>
        <w:pStyle w:val="Compact"/>
        <w:numPr>
          <w:ilvl w:val="0"/>
          <w:numId w:val="1028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passage par le registre EMMY</w:t>
      </w:r>
      <w:r>
        <w:t xml:space="preserve"> </w:t>
      </w:r>
      <w:r>
        <w:t xml:space="preserve">(CEE) couvrirait à lui seul ~10 mesures — démarche déjà entamée par la DGEC ?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récapitulatif-des-paramètres-techniques"/>
    <w:p>
      <w:pPr>
        <w:pStyle w:val="Titre1"/>
      </w:pPr>
      <w:r>
        <w:t xml:space="preserve">7. Récapitulatif des paramètres techniques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total de mesures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d’axes</w:t>
            </w:r>
          </w:p>
        </w:tc>
        <w:tc>
          <w:tcPr/>
          <w:p>
            <w:pPr>
              <w:pStyle w:val="Compact"/>
            </w:pPr>
            <w:r>
              <w:t xml:space="preserve">4 (transversal, bâtiments, mobilités, industrie)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 statuts</w:t>
            </w:r>
          </w:p>
        </w:tc>
        <w:tc>
          <w:tcPr/>
          <w:p>
            <w:pPr>
              <w:pStyle w:val="Compact"/>
            </w:pPr>
            <w:r>
              <w:t xml:space="preserve">6 (attente, préparation, lancée, encours, atteinte, retard)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 colonnes calendrier</w:t>
            </w:r>
          </w:p>
        </w:tc>
        <w:tc>
          <w:tcPr/>
          <w:p>
            <w:pPr>
              <w:pStyle w:val="Compact"/>
            </w:pPr>
            <w:r>
              <w:t xml:space="preserve">5 (Q2 / Q3 / Q4 / 2027 / long terme)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Indicateurs moyens par mesure</w:t>
            </w:r>
          </w:p>
        </w:tc>
        <w:tc>
          <w:tcPr/>
          <w:p>
            <w:pPr>
              <w:pStyle w:val="Compact"/>
            </w:pPr>
            <w:r>
              <w:t xml:space="preserve">2 à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d’indicateur</w:t>
            </w:r>
          </w:p>
        </w:tc>
        <w:tc>
          <w:tcPr/>
          <w:p>
            <w:pPr>
              <w:pStyle w:val="Compact"/>
            </w:pPr>
            <w:r>
              <w:t xml:space="preserve">numérique (avec cible et mini-barre) ou textuel (transition)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Stockage des données mesures</w:t>
            </w:r>
          </w:p>
        </w:tc>
        <w:tc>
          <w:tcPr/>
          <w:p>
            <w:pPr>
              <w:pStyle w:val="Compact"/>
            </w:pPr>
            <w:r>
              <w:t xml:space="preserve">objet JS</w:t>
            </w:r>
            <w:r>
              <w:t xml:space="preserve"> </w:t>
            </w:r>
            <w:r>
              <w:rPr>
                <w:rStyle w:val="VerbatimChar"/>
              </w:rPr>
              <w:t xml:space="preserve">MEASURES</w:t>
            </w:r>
            <w:r>
              <w:t xml:space="preserve"> </w:t>
            </w:r>
            <w:r>
              <w:t xml:space="preserve">inline (pas de fetch externe)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1" w:name="limites-connues"/>
    <w:p>
      <w:pPr>
        <w:pStyle w:val="Titre1"/>
      </w:pPr>
      <w:r>
        <w:t xml:space="preserve">8. Limites connues</w:t>
      </w:r>
    </w:p>
    <w:bookmarkStart w:id="68" w:name="hypothèses-simplificatrices-assumées"/>
    <w:p>
      <w:pPr>
        <w:pStyle w:val="Titre2"/>
      </w:pPr>
      <w:r>
        <w:t xml:space="preserve">8.1 Hypothèses simplificatrices assumées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Valeurs courantes simulées</w:t>
      </w:r>
      <w:r>
        <w:t xml:space="preserve"> </w:t>
      </w:r>
      <w:r>
        <w:t xml:space="preserve">dans la v0.1 prototype. Aucun branchement réel.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% d’avancement par mesure</w:t>
      </w:r>
      <w:r>
        <w:t xml:space="preserve"> </w:t>
      </w:r>
      <w:r>
        <w:t xml:space="preserve">= jugement qualitatif unique (pas calculé automatiquement à partir des indicateurs).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Statut « en retard »</w:t>
      </w:r>
      <w:r>
        <w:t xml:space="preserve"> </w:t>
      </w:r>
      <w:r>
        <w:t xml:space="preserve">: pas encore appliqué à aucune mesure (déclaration manuelle, pas de détection automatique d’un jalon dépassé).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 jalon par mesure</w:t>
      </w:r>
      <w:r>
        <w:t xml:space="preserve"> </w:t>
      </w:r>
      <w:r>
        <w:t xml:space="preserve">dans le calendrier (le plus structurant). Les sous-jalons existent dans le DP mais ne sont pas représentés.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Pas de versioning</w:t>
      </w:r>
      <w:r>
        <w:t xml:space="preserve"> </w:t>
      </w:r>
      <w:r>
        <w:t xml:space="preserve">: si une mesure est fusionnée ou scindée, on perd l’historique.</w:t>
      </w:r>
    </w:p>
    <w:bookmarkEnd w:id="68"/>
    <w:bookmarkStart w:id="69" w:name="cas-non-traités-v1"/>
    <w:p>
      <w:pPr>
        <w:pStyle w:val="Titre2"/>
      </w:pPr>
      <w:r>
        <w:t xml:space="preserve">8.2 Cas non traités (v1)</w:t>
      </w:r>
    </w:p>
    <w:p>
      <w:pPr>
        <w:pStyle w:val="Compact"/>
        <w:numPr>
          <w:ilvl w:val="0"/>
          <w:numId w:val="1030"/>
        </w:numPr>
      </w:pPr>
      <w:r>
        <w:t xml:space="preserve">Suivi</w:t>
      </w:r>
      <w:r>
        <w:t xml:space="preserve"> </w:t>
      </w:r>
      <w:r>
        <w:rPr>
          <w:b/>
          <w:bCs/>
        </w:rPr>
        <w:t xml:space="preserve">financier</w:t>
      </w:r>
      <w:r>
        <w:t xml:space="preserve"> </w:t>
      </w:r>
      <w:r>
        <w:t xml:space="preserve">mesure par mesure (enveloppe budgétaire).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Workflow validation</w:t>
      </w:r>
      <w:r>
        <w:t xml:space="preserve"> </w:t>
      </w:r>
      <w:r>
        <w:t xml:space="preserve">(édition collaborative, révisions).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Export PDF / CSV</w:t>
      </w:r>
      <w:r>
        <w:t xml:space="preserve"> </w:t>
      </w:r>
      <w:r>
        <w:t xml:space="preserve">pour revues cabinet.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Comparaison avec d’autres plans</w:t>
      </w:r>
      <w:r>
        <w:t xml:space="preserve"> </w:t>
      </w:r>
      <w:r>
        <w:t xml:space="preserve">(Stratégie nationale bas-carbone, Plan d’investissement France 2030).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Vue chronologique inversée</w:t>
      </w:r>
      <w:r>
        <w:t xml:space="preserve"> </w:t>
      </w:r>
      <w:r>
        <w:t xml:space="preserve">(chronique des annonces / décrets publiés).</w:t>
      </w:r>
    </w:p>
    <w:bookmarkEnd w:id="69"/>
    <w:bookmarkStart w:id="70" w:name="X9cc382cc3d2554beba020f5417958ec6f08c92d"/>
    <w:p>
      <w:pPr>
        <w:pStyle w:val="Titre2"/>
      </w:pPr>
      <w:r>
        <w:t xml:space="preserve">8.3 Points ouverts à arbitrer avec les experts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Affichage public d’une mesure « en retard »</w:t>
      </w:r>
      <w:r>
        <w:t xml:space="preserve"> </w:t>
      </w:r>
      <w:r>
        <w:t xml:space="preserve">avant arbitrage cabinet : politiquement sensible — qui valide l’autorisation d’affichage ?</w:t>
      </w:r>
      <w:r>
        <w:t xml:space="preserve"> </w:t>
      </w:r>
      <w:r>
        <w:rPr>
          <w:i/>
          <w:iCs/>
        </w:rPr>
        <w:t xml:space="preserve">(open dans la modale business)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Gouvernance</w:t>
      </w:r>
      <w:r>
        <w:t xml:space="preserve"> </w:t>
      </w:r>
      <w:r>
        <w:t xml:space="preserve">: qui édite ce dashboard ? Workflow de validation avant chaque mise à jour ?</w:t>
      </w:r>
      <w:r>
        <w:t xml:space="preserve"> </w:t>
      </w:r>
      <w:r>
        <w:rPr>
          <w:i/>
          <w:iCs/>
        </w:rPr>
        <w:t xml:space="preserve">(open)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Audit RGAA</w:t>
      </w:r>
      <w:r>
        <w:t xml:space="preserve"> </w:t>
      </w:r>
      <w:r>
        <w:t xml:space="preserve">: timeline / calendrier 5 colonnes ont-ils une alternative lecture séquentielle ?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Auto-déclaration biaisée</w:t>
      </w:r>
      <w:r>
        <w:t xml:space="preserve"> </w:t>
      </w:r>
      <w:r>
        <w:t xml:space="preserve">: les indicateurs « réalisé » sans backing data précis : qui contrôle ?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Versioning de la liste</w:t>
      </w:r>
      <w:r>
        <w:t xml:space="preserve"> </w:t>
      </w:r>
      <w:r>
        <w:t xml:space="preserve">: si une mesure est fusionnée / scindée, on garde la trace dans un journal ?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Liens croisés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Mesure 1 (100 territoires) →</w:t>
      </w:r>
      <w:r>
        <w:t xml:space="preserve"> </w:t>
      </w:r>
      <w:r>
        <w:rPr>
          <w:rStyle w:val="VerbatimChar"/>
        </w:rPr>
        <w:t xml:space="preserve">/territoires-electrification/</w:t>
      </w:r>
    </w:p>
    <w:p>
      <w:pPr>
        <w:pStyle w:val="Compact"/>
        <w:numPr>
          <w:ilvl w:val="1"/>
          <w:numId w:val="1032"/>
        </w:numPr>
      </w:pPr>
      <w:r>
        <w:t xml:space="preserve">Mesure 12 (PL aide achat) →</w:t>
      </w:r>
      <w:r>
        <w:t xml:space="preserve"> </w:t>
      </w:r>
      <w:r>
        <w:rPr>
          <w:rStyle w:val="VerbatimChar"/>
        </w:rPr>
        <w:t xml:space="preserve">/poids-lourd/</w:t>
      </w:r>
    </w:p>
    <w:p>
      <w:pPr>
        <w:pStyle w:val="Compact"/>
        <w:numPr>
          <w:ilvl w:val="1"/>
          <w:numId w:val="1032"/>
        </w:numPr>
      </w:pPr>
      <w:r>
        <w:t xml:space="preserve">Mesure 4 (PAC) →</w:t>
      </w:r>
      <w:r>
        <w:t xml:space="preserve"> </w:t>
      </w:r>
      <w:r>
        <w:rPr>
          <w:rStyle w:val="VerbatimChar"/>
        </w:rPr>
        <w:t xml:space="preserve">/pompe-a-chaleur/</w:t>
      </w:r>
    </w:p>
    <w:p>
      <w:pPr>
        <w:pStyle w:val="Compact"/>
        <w:numPr>
          <w:ilvl w:val="1"/>
          <w:numId w:val="1032"/>
        </w:numPr>
      </w:pPr>
      <w:r>
        <w:t xml:space="preserve">Mesure 14 (bornes) →</w:t>
      </w:r>
      <w:r>
        <w:t xml:space="preserve"> </w:t>
      </w:r>
      <w:r>
        <w:rPr>
          <w:rStyle w:val="VerbatimChar"/>
        </w:rPr>
        <w:t xml:space="preserve">/bornes-ve/</w:t>
      </w:r>
      <w:r>
        <w:t xml:space="preserve"> </w:t>
      </w:r>
      <w:r>
        <w:t xml:space="preserve">Cohérence des chiffres entre les 5 outils à maintenir explicitement.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annexe-historique-des-versions"/>
    <w:p>
      <w:pPr>
        <w:pStyle w:val="Titre1"/>
      </w:pPr>
      <w:r>
        <w:t xml:space="preserve">Annexe — Historique des versions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Modifications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Bertrand Matge</w:t>
            </w:r>
          </w:p>
        </w:tc>
        <w:tc>
          <w:tcPr/>
          <w:p>
            <w:pPr>
              <w:pStyle w:val="Compact"/>
            </w:pPr>
            <w:r>
              <w:t xml:space="preserve">Création initiale (KPIs globaux, calendrier 5 colonnes, 4 onglets × 22 cartes mesure, table 13 sources de données)</w:t>
            </w:r>
          </w:p>
        </w:tc>
      </w:tr>
    </w:tbl>
    <w:bookmarkEnd w:id="72"/>
    <w:sectPr w:rsidR="00102DE7">
      <w:footnotePr>
        <w:numRestart w:val="eachSect"/>
      </w:footnotePr>
      <w:pgSz w:h="15840" w:w="12240"/>
      <w:pgMar w:bottom="1417" w:footer="720" w:gutter="0" w:header="720" w:left="1417" w:right="1417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3EA82E6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A74EE3B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00A992"/>
    <w:multiLevelType w:val="multilevel"/>
    <w:tmpl w:val="C32AD1AA"/>
    <w:lvl w:ilvl="0">
      <w:numFmt w:val="bullet"/>
      <w:lvlText w:val="☐"/>
      <w:lvlJc w:val="left"/>
      <w:pPr>
        <w:ind w:hanging="360" w:left="720"/>
      </w:pPr>
    </w:lvl>
    <w:lvl w:ilvl="1">
      <w:numFmt w:val="bullet"/>
      <w:lvlText w:val="☐"/>
      <w:lvlJc w:val="left"/>
      <w:pPr>
        <w:ind w:hanging="360" w:left="1440"/>
      </w:pPr>
    </w:lvl>
    <w:lvl w:ilvl="2">
      <w:numFmt w:val="bullet"/>
      <w:lvlText w:val="☐"/>
      <w:lvlJc w:val="left"/>
      <w:pPr>
        <w:ind w:hanging="360" w:left="2160"/>
      </w:pPr>
    </w:lvl>
    <w:lvl w:ilvl="3">
      <w:numFmt w:val="bullet"/>
      <w:lvlText w:val="☐"/>
      <w:lvlJc w:val="left"/>
      <w:pPr>
        <w:ind w:hanging="360" w:left="2880"/>
      </w:pPr>
    </w:lvl>
    <w:lvl w:ilvl="4">
      <w:numFmt w:val="bullet"/>
      <w:lvlText w:val="☐"/>
      <w:lvlJc w:val="left"/>
      <w:pPr>
        <w:ind w:hanging="360" w:left="3600"/>
      </w:pPr>
    </w:lvl>
    <w:lvl w:ilvl="5">
      <w:numFmt w:val="bullet"/>
      <w:lvlText w:val="☐"/>
      <w:lvlJc w:val="left"/>
      <w:pPr>
        <w:ind w:hanging="360" w:left="4320"/>
      </w:pPr>
    </w:lvl>
    <w:lvl w:ilvl="6">
      <w:numFmt w:val="bullet"/>
      <w:lvlText w:val="☐"/>
      <w:lvlJc w:val="left"/>
      <w:pPr>
        <w:ind w:hanging="360" w:left="5040"/>
      </w:pPr>
    </w:lvl>
    <w:lvl w:ilvl="7">
      <w:numFmt w:val="bullet"/>
      <w:lvlText w:val="☐"/>
      <w:lvlJc w:val="left"/>
      <w:pPr>
        <w:ind w:hanging="360" w:left="5760"/>
      </w:pPr>
    </w:lvl>
    <w:lvl w:ilvl="8">
      <w:numFmt w:val="bullet"/>
      <w:lvlText w:val="☐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918438662" w:numId="1">
    <w:abstractNumId w:val="0"/>
  </w:num>
  <w:num w16cid:durableId="849637363" w:numId="2">
    <w:abstractNumId w:val="1"/>
  </w:num>
  <w:num w16cid:durableId="2084911129" w:numId="3">
    <w:abstractNumId w:val="1"/>
  </w:num>
  <w:num w16cid:durableId="826941755" w:numId="4">
    <w:abstractNumId w:val="2"/>
  </w:num>
  <w:num w16cid:durableId="1726830134" w:numId="5">
    <w:abstractNumId w:val="2"/>
  </w:num>
  <w:num w16cid:durableId="645741671" w:numId="6">
    <w:abstractNumId w:val="2"/>
  </w:num>
  <w:num w16cid:durableId="1416247845" w:numId="7">
    <w:abstractNumId w:val="2"/>
  </w:num>
  <w:num w16cid:durableId="515075913" w:numId="8">
    <w:abstractNumId w:val="2"/>
  </w:num>
  <w:num w16cid:durableId="2017730726" w:numId="9">
    <w:abstractNumId w:val="2"/>
  </w:num>
  <w:num w16cid:durableId="1204974846" w:numId="10">
    <w:abstractNumId w:val="2"/>
  </w:num>
  <w:num w16cid:durableId="608128858" w:numId="11">
    <w:abstractNumId w:val="2"/>
  </w:num>
  <w:num w16cid:durableId="1657342594" w:numId="12">
    <w:abstractNumId w:val="2"/>
  </w:num>
  <w:num w16cid:durableId="600450208" w:numId="13">
    <w:abstractNumId w:val="2"/>
  </w:num>
  <w:num w16cid:durableId="1082416143" w:numId="14">
    <w:abstractNumId w:val="2"/>
  </w:num>
  <w:num w16cid:durableId="1158502540" w:numId="15">
    <w:abstractNumId w:val="1"/>
  </w:num>
  <w:num w16cid:durableId="411660647" w:numId="16">
    <w:abstractNumId w:val="1"/>
  </w:num>
  <w:num w16cid:durableId="489832747" w:numId="17">
    <w:abstractNumId w:val="2"/>
  </w:num>
  <w:num w16cid:durableId="1624967044" w:numId="18">
    <w:abstractNumId w:val="2"/>
  </w:num>
  <w:num w16cid:durableId="654995558" w:numId="19">
    <w:abstractNumId w:val="2"/>
  </w:num>
  <w:num w16cid:durableId="1856264098" w:numId="20">
    <w:abstractNumId w:val="2"/>
  </w:num>
  <w:num w16cid:durableId="583682011" w:numId="21">
    <w:abstractNumId w:val="2"/>
  </w:num>
  <w:num w16cid:durableId="1084762238" w:numId="22">
    <w:abstractNumId w:val="2"/>
  </w:num>
  <w:num w16cid:durableId="1205825833" w:numId="23">
    <w:abstractNumId w:val="2"/>
  </w:num>
  <w:num w16cid:durableId="562523016" w:numId="24">
    <w:abstractNumId w:val="2"/>
  </w:num>
  <w:num w16cid:durableId="1751929158" w:numId="25">
    <w:abstractNumId w:val="2"/>
  </w:num>
  <w:num w16cid:durableId="1316256266" w:numId="26">
    <w:abstractNumId w:val="2"/>
  </w:num>
  <w:num w16cid:durableId="1869947400" w:numId="27">
    <w:abstractNumId w:val="2"/>
  </w:num>
  <w:num w16cid:durableId="54857817" w:numId="28">
    <w:abstractNumId w:val="2"/>
  </w:num>
  <w:num w16cid:durableId="680663701" w:numId="29">
    <w:abstractNumId w:val="1"/>
  </w:num>
  <w:num w16cid:durableId="1756591367" w:numId="30">
    <w:abstractNumId w:val="2"/>
  </w:num>
  <w:num w16cid:durableId="2071146577" w:numId="31">
    <w:abstractNumId w:val="1"/>
  </w:num>
  <w:num w16cid:durableId="1065373622" w:numId="32">
    <w:abstractNumId w:val="2"/>
  </w:num>
  <w:num w16cid:durableId="1261336846" w:numId="33">
    <w:abstractNumId w:val="2"/>
  </w:num>
  <w:num w16cid:durableId="1502890631" w:numId="34">
    <w:abstractNumId w:val="2"/>
  </w:num>
  <w:num w16cid:durableId="702554870" w:numId="35">
    <w:abstractNumId w:val="2"/>
  </w:num>
  <w:num w16cid:durableId="1727680481" w:numId="36">
    <w:abstractNumId w:val="1"/>
  </w:num>
  <w:num w16cid:durableId="724377671" w:numId="37">
    <w:abstractNumId w:val="2"/>
  </w:num>
  <w:num w16cid:durableId="1265773474" w:numId="38">
    <w:abstractNumId w:val="2"/>
  </w:num>
  <w:num w16cid:durableId="1152648036" w:numId="39">
    <w:abstractNumId w:val="2"/>
  </w:num>
  <w:num w16cid:durableId="368534243" w:numId="40">
    <w:abstractNumId w:val="2"/>
  </w:num>
  <w:num w16cid:durableId="196359595" w:numId="41">
    <w:abstractNumId w:val="2"/>
  </w:num>
  <w:num w16cid:durableId="238562381" w:numId="42">
    <w:abstractNumId w:val="2"/>
  </w:num>
  <w:num w16cid:durableId="1852716841" w:numId="43">
    <w:abstractNumId w:val="2"/>
  </w:num>
  <w:num w16cid:durableId="1509321079" w:numId="44">
    <w:abstractNumId w:val="2"/>
  </w:num>
  <w:num w16cid:durableId="384573149" w:numId="45">
    <w:abstractNumId w:val="1"/>
  </w:num>
  <w:num w16cid:durableId="707069682" w:numId="46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E1"/>
    <w:rsid w:val="00102DE7"/>
    <w:rsid w:val="00310F6A"/>
    <w:rsid w:val="009F56E1"/>
    <w:rsid w:val="00C86FD2"/>
    <w:rsid w:val="00DC72E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ous-titre" w:type="paragraph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styleId="Date" w:type="paragraph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100"/>
    </w:pPr>
    <w:rPr>
      <w:sz w:val="20"/>
      <w:szCs w:val="20"/>
    </w:rPr>
  </w:style>
  <w:style w:styleId="Bibliographie" w:type="paragraph">
    <w:name w:val="Bibliography"/>
    <w:basedOn w:val="Normal"/>
    <w:qFormat/>
  </w:style>
  <w:style w:customStyle="1" w:styleId="Titre1Car" w:type="character">
    <w:name w:val="Titre 1 Car"/>
    <w:basedOn w:val="Policepardfaut"/>
    <w:link w:val="Titre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  <w:ind w:left="480" w:right="480"/>
    </w:pPr>
  </w:style>
  <w:style w:styleId="Notedebasdepage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Notedebasdepage"/>
    <w:next w:val="Notedebasdepag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uiPriority w:val="99"/>
    <w:rPr>
      <w:color w:themeColor="accent1" w:val="156082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TM1" w:type="paragraph">
    <w:name w:val="toc 1"/>
    <w:basedOn w:val="Normal"/>
    <w:next w:val="Normal"/>
    <w:autoRedefine/>
    <w:uiPriority w:val="39"/>
    <w:rsid w:val="00310F6A"/>
    <w:pPr>
      <w:spacing w:after="100"/>
    </w:pPr>
  </w:style>
  <w:style w:styleId="TM2" w:type="paragraph">
    <w:name w:val="toc 2"/>
    <w:basedOn w:val="Normal"/>
    <w:next w:val="Normal"/>
    <w:autoRedefine/>
    <w:uiPriority w:val="39"/>
    <w:rsid w:val="00310F6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0" Target="numbering.xml" /><Relationship Type="http://schemas.openxmlformats.org/officeDocument/2006/relationships/styles" Id="rId29" Target="styles.xml" /><Relationship Type="http://schemas.openxmlformats.org/officeDocument/2006/relationships/settings" Id="rId28" Target="settings.xml" /><Relationship Type="http://schemas.openxmlformats.org/officeDocument/2006/relationships/webSettings" Id="rId27" Target="webSettings.xml" /><Relationship Type="http://schemas.openxmlformats.org/officeDocument/2006/relationships/fontTable" Id="rId26" Target="fontTable.xml" /><Relationship Type="http://schemas.openxmlformats.org/officeDocument/2006/relationships/theme" Id="rId25" Target="theme/theme1.xml" /><Relationship Type="http://schemas.openxmlformats.org/officeDocument/2006/relationships/footnotes" Id="rId24" Target="footnotes.xml" /><Relationship Type="http://schemas.openxmlformats.org/officeDocument/2006/relationships/comments" Id="rId23" Target="comments.xml" /><Relationship Id="rId8" Target="media/image4.png" Type="http://schemas.openxmlformats.org/officeDocument/2006/relationships/image" /><Relationship Id="rId13" Target="media/image9.png" Type="http://schemas.openxmlformats.org/officeDocument/2006/relationships/image" /><Relationship Id="rId18" Target="media/image14.png" Type="http://schemas.openxmlformats.org/officeDocument/2006/relationships/image" /><Relationship Id="rId21" Target="media/image17.png" Type="http://schemas.openxmlformats.org/officeDocument/2006/relationships/image" /><Relationship Id="rId7" Target="media/image3.png" Type="http://schemas.openxmlformats.org/officeDocument/2006/relationships/image" /><Relationship Id="rId12" Target="media/image8.png" Type="http://schemas.openxmlformats.org/officeDocument/2006/relationships/image" /><Relationship Id="rId17" Target="media/image13.png" Type="http://schemas.openxmlformats.org/officeDocument/2006/relationships/image" /><Relationship Id="rId16" Target="media/image12.png" Type="http://schemas.openxmlformats.org/officeDocument/2006/relationships/image" /><Relationship Id="rId20" Target="media/image16.png" Type="http://schemas.openxmlformats.org/officeDocument/2006/relationships/image" /><Relationship Id="rId6" Target="media/image2.png" Type="http://schemas.openxmlformats.org/officeDocument/2006/relationships/image" /><Relationship Id="rId11" Target="media/image7.png" Type="http://schemas.openxmlformats.org/officeDocument/2006/relationships/image" /><Relationship Id="rId5" Target="media/image1.png" Type="http://schemas.openxmlformats.org/officeDocument/2006/relationships/image" /><Relationship Id="rId15" Target="media/image11.png" Type="http://schemas.openxmlformats.org/officeDocument/2006/relationships/image" /><Relationship Id="rId10" Target="media/image6.png" Type="http://schemas.openxmlformats.org/officeDocument/2006/relationships/image" /><Relationship Id="rId19" Target="media/image15.png" Type="http://schemas.openxmlformats.org/officeDocument/2006/relationships/image" /><Relationship Id="rId9" Target="media/image5.png" Type="http://schemas.openxmlformats.org/officeDocument/2006/relationships/image" /><Relationship Id="rId14" Target="media/image10.png" Type="http://schemas.openxmlformats.org/officeDocument/2006/relationships/image" /><Relationship Id="rId22" Target="media/image18.png" Type="http://schemas.openxmlformats.org/officeDocument/2006/relationships/image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3279</Words>
  <Characters>18040</Characters>
  <Application>Microsoft Office Word</Application>
  <DocSecurity>0</DocSecurity>
  <Lines>150</Lines>
  <Paragraphs>42</Paragraphs>
  <ScaleCrop>false</ScaleCrop>
  <Company/>
  <LinksUpToDate>false</LinksUpToDate>
  <CharactersWithSpaces>21277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Suivi du Plan d’électrification — Spécification métier</dc:title>
  <dc:creator/>
  <cp:keywords/>
  <dcterms:created xsi:type="dcterms:W3CDTF">2026-05-20T16:18:22Z</dcterms:created>
  <dcterms:modified xsi:type="dcterms:W3CDTF">2026-05-20T16:18:22Z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eur">
    <vt:lpwstr>Bertrand Matge</vt:lpwstr>
  </property>
  <property fmtid="{D5CDD505-2E9C-101B-9397-08002B2CF9AE}" pid="3" name="date">
    <vt:lpwstr>2026-05-20</vt:lpwstr>
  </property>
  <property fmtid="{D5CDD505-2E9C-101B-9397-08002B2CF9AE}" pid="4" name="destinataires">
    <vt:lpwstr>DGEC, SGPE, cabinet MTE, équipes pilotage Matignon</vt:lpwstr>
  </property>
  <property fmtid="{D5CDD505-2E9C-101B-9397-08002B2CF9AE}" pid="5" name="simulateur">
    <vt:lpwstr>plan-electrification</vt:lpwstr>
  </property>
  <property fmtid="{D5CDD505-2E9C-101B-9397-08002B2CF9AE}" pid="6" name="statut">
    <vt:lpwstr>brouillon — à valider</vt:lpwstr>
  </property>
  <property fmtid="{D5CDD505-2E9C-101B-9397-08002B2CF9AE}" pid="7" name="version">
    <vt:lpwstr>0.1</vt:lpwstr>
  </property>
</Properties>
</file>