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8.png" ContentType="image/png"/>
  <Override PartName="/word/media/rId73.png" ContentType="image/png"/>
  <Override PartName="/word/media/rId58.png" ContentType="image/png"/>
  <Override PartName="/word/media/rId33.png" ContentType="image/png"/>
  <Override PartName="/word/media/rId43.png" ContentType="image/png"/>
  <Override PartName="/word/media/rId38.png" ContentType="image/png"/>
  <Override PartName="/word/media/rId48.png" ContentType="image/png"/>
  <Override PartName="/word/media/rId53.png" ContentType="image/png"/>
  <Override PartName="/word/media/rId63.png" ContentType="image/png"/>
  <Override PartName="/word/media/image13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Simulateur Poids lourd électrique vs diesel — Spécification métier</w:t>
      </w:r>
    </w:p>
    <w:p>
      <w:pPr>
        <w:pStyle w:val="Date"/>
      </w:pPr>
      <w:r>
        <w:t xml:space="preserve">2026-05-20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En-ttedetabledesmatires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objectif-public-visé"/>
    <w:p>
      <w:pPr>
        <w:pStyle w:val="Titre1"/>
      </w:pPr>
      <w:r>
        <w:t xml:space="preserve">1. Objectif &amp; public visé</w:t>
      </w:r>
    </w:p>
    <w:p>
      <w:pPr>
        <w:pStyle w:val="FirstParagraph"/>
      </w:pPr>
      <w:r>
        <w:rPr>
          <w:b/>
          <w:bCs/>
        </w:rPr>
        <w:t xml:space="preserve">Question à laquelle le simulateur répond :</w:t>
      </w:r>
      <w:r>
        <w:t xml:space="preserve"> </w:t>
      </w:r>
      <w:r>
        <w:t xml:space="preserve">« Sur ma durée de détention prévisionnelle, mon poids lourd électrique me revient-il moins cher qu’un diesel équivalent, compte tenu de l’aide à l’achat (jusqu’à 100 000 € — Mesure 12 du Plan d’électrification) et des coûts d’exploitation ? »</w:t>
      </w:r>
    </w:p>
    <w:p>
      <w:pPr>
        <w:pStyle w:val="Corpsdetexte"/>
      </w:pPr>
      <w:r>
        <w:rPr>
          <w:b/>
          <w:bCs/>
        </w:rPr>
        <w:t xml:space="preserve">Public cible :</w:t>
      </w:r>
      <w:r>
        <w:t xml:space="preserve"> </w:t>
      </w:r>
      <w:r>
        <w:t xml:space="preserve">transporteurs (grandes flottes, PME, artisans), chargeurs qui suivent les coûts de transport, services DGEC / DGITM pour calibrer la Mesure 12.</w:t>
      </w:r>
    </w:p>
    <w:p>
      <w:pPr>
        <w:pStyle w:val="Corpsdetexte"/>
      </w:pPr>
      <w:r>
        <w:rPr>
          <w:b/>
          <w:bCs/>
        </w:rPr>
        <w:t xml:space="preserve">Décision aidée :</w:t>
      </w:r>
    </w:p>
    <w:p>
      <w:pPr>
        <w:pStyle w:val="Compact"/>
        <w:numPr>
          <w:ilvl w:val="0"/>
          <w:numId w:val="1001"/>
        </w:numPr>
      </w:pPr>
      <w:r>
        <w:t xml:space="preserve">estimer le</w:t>
      </w:r>
      <w:r>
        <w:t xml:space="preserve"> </w:t>
      </w:r>
      <w:r>
        <w:rPr>
          <w:b/>
          <w:bCs/>
        </w:rPr>
        <w:t xml:space="preserve">surcoût net à l’achat</w:t>
      </w:r>
      <w:r>
        <w:t xml:space="preserve"> </w:t>
      </w:r>
      <w:r>
        <w:t xml:space="preserve">après aide (CEE bonifié) ;</w:t>
      </w:r>
    </w:p>
    <w:p>
      <w:pPr>
        <w:pStyle w:val="Compact"/>
        <w:numPr>
          <w:ilvl w:val="0"/>
          <w:numId w:val="1001"/>
        </w:numPr>
      </w:pPr>
      <w:r>
        <w:t xml:space="preserve">calculer le</w:t>
      </w:r>
      <w:r>
        <w:t xml:space="preserve"> </w:t>
      </w:r>
      <w:r>
        <w:rPr>
          <w:b/>
          <w:bCs/>
        </w:rPr>
        <w:t xml:space="preserve">point d’équilibre</w:t>
      </w:r>
      <w:r>
        <w:t xml:space="preserve"> </w:t>
      </w:r>
      <w:r>
        <w:t xml:space="preserve">(en années) à partir duquel l’électrique devient plus rentable que le diesel ;</w:t>
      </w:r>
    </w:p>
    <w:p>
      <w:pPr>
        <w:pStyle w:val="Compact"/>
        <w:numPr>
          <w:ilvl w:val="0"/>
          <w:numId w:val="1001"/>
        </w:numPr>
      </w:pPr>
      <w:r>
        <w:t xml:space="preserve">identifier le</w:t>
      </w:r>
      <w:r>
        <w:t xml:space="preserve"> </w:t>
      </w:r>
      <w:r>
        <w:rPr>
          <w:b/>
          <w:bCs/>
        </w:rPr>
        <w:t xml:space="preserve">kilométrage pivot annuel</w:t>
      </w:r>
      <w:r>
        <w:t xml:space="preserve"> </w:t>
      </w:r>
      <w:r>
        <w:t xml:space="preserve">au-delà duquel l’électrique gagne sur la durée de détention.</w:t>
      </w:r>
    </w:p>
    <w:p>
      <w:pPr>
        <w:pStyle w:val="FirstParagraph"/>
      </w:pPr>
      <w:r>
        <w:rPr>
          <w:b/>
          <w:bCs/>
        </w:rPr>
        <w:t xml:space="preserve">Hors périmètre (v1) :</w:t>
      </w:r>
    </w:p>
    <w:p>
      <w:pPr>
        <w:pStyle w:val="Compact"/>
        <w:numPr>
          <w:ilvl w:val="0"/>
          <w:numId w:val="1002"/>
        </w:numPr>
      </w:pPr>
      <w:r>
        <w:t xml:space="preserve">Catégories autres que tracteur routier 40 t et porteur urbain 19-26 t (pas de 12 t / 7,5 t logistique urbaine en v1).</w:t>
      </w:r>
    </w:p>
    <w:p>
      <w:pPr>
        <w:pStyle w:val="Compact"/>
        <w:numPr>
          <w:ilvl w:val="0"/>
          <w:numId w:val="1002"/>
        </w:numPr>
      </w:pPr>
      <w:r>
        <w:t xml:space="preserve">Comparaison vs BioGNV (uniquement strict diesel).</w:t>
      </w:r>
    </w:p>
    <w:p>
      <w:pPr>
        <w:pStyle w:val="Compact"/>
        <w:numPr>
          <w:ilvl w:val="0"/>
          <w:numId w:val="1002"/>
        </w:numPr>
      </w:pPr>
      <w:r>
        <w:t xml:space="preserve">Valeur résiduelle des véhicules (mise à zéro — marché de l’occasion VE PL quasi inexistant en 2026).</w:t>
      </w:r>
    </w:p>
    <w:p>
      <w:pPr>
        <w:pStyle w:val="Compact"/>
        <w:numPr>
          <w:ilvl w:val="0"/>
          <w:numId w:val="1002"/>
        </w:numPr>
      </w:pPr>
      <w:r>
        <w:t xml:space="preserve">CAPEX de l’infrastructure de recharge au dépôt (transformateur, bornes HPC).</w:t>
      </w:r>
    </w:p>
    <w:p>
      <w:pPr>
        <w:pStyle w:val="Compact"/>
        <w:numPr>
          <w:ilvl w:val="0"/>
          <w:numId w:val="1002"/>
        </w:numPr>
      </w:pPr>
      <w:r>
        <w:t xml:space="preserve">Réductions de péages Eurovignette PL électriques.</w:t>
      </w:r>
    </w:p>
    <w:p>
      <w:pPr>
        <w:pStyle w:val="Compact"/>
        <w:numPr>
          <w:ilvl w:val="0"/>
          <w:numId w:val="1002"/>
        </w:numPr>
      </w:pPr>
      <w:r>
        <w:t xml:space="preserve">Fiscalité spécifique (TVS, taxe à l’essieu, suramortissement 39 decies A).</w:t>
      </w:r>
    </w:p>
    <w:p>
      <w:pPr>
        <w:pStyle w:val="Compact"/>
        <w:numPr>
          <w:ilvl w:val="0"/>
          <w:numId w:val="1002"/>
        </w:numPr>
      </w:pPr>
      <w:r>
        <w:t xml:space="preserve">Crédit / leasing / coût d’opportunité du capital.</w:t>
      </w:r>
    </w:p>
    <w:p>
      <w:r>
        <w:pict>
          <v:rect style="width:0;height:1.5pt" o:hralign="center" o:hrstd="t" o:hr="t"/>
        </w:pict>
      </w:r>
    </w:p>
    <w:bookmarkEnd w:id="31"/>
    <w:bookmarkStart w:id="32" w:name="Xb0328b3a0aa9691bb197bd317d5f79a68fb30e9"/>
    <w:p>
      <w:pPr>
        <w:pStyle w:val="Titre1"/>
      </w:pPr>
      <w:r>
        <w:t xml:space="preserve">2. Scénario par défaut — fil rouge des exemples</w:t>
      </w:r>
    </w:p>
    <w:p>
      <w:pPr>
        <w:pStyle w:val="FirstParagraph"/>
      </w:pPr>
      <w:r>
        <w:t xml:space="preserve">Tous les exemples chiffrés de ce document utilisent le</w:t>
      </w:r>
      <w:r>
        <w:t xml:space="preserve"> </w:t>
      </w:r>
      <w:r>
        <w:rPr>
          <w:b/>
          <w:bCs/>
        </w:rPr>
        <w:t xml:space="preserve">scénario chargé par défaut</w:t>
      </w:r>
      <w:r>
        <w:t xml:space="preserve"> </w:t>
      </w:r>
      <w:r>
        <w:t xml:space="preserve">au démarrage du simulateur.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t xml:space="preserve">Valeurs par défaut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de PL</w:t>
            </w:r>
          </w:p>
        </w:tc>
        <w:tc>
          <w:tcPr/>
          <w:p>
            <w:pPr>
              <w:pStyle w:val="Compact"/>
            </w:pPr>
            <w:r>
              <w:t xml:space="preserve">Tracteur routier 40 t (longue distance)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Exploitation</w:t>
            </w:r>
          </w:p>
        </w:tc>
        <w:tc>
          <w:tcPr/>
          <w:p>
            <w:pPr>
              <w:pStyle w:val="Compact"/>
            </w:pPr>
            <w:r>
              <w:t xml:space="preserve">85 000 km/an, durée de détention 5 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Diesel</w:t>
            </w:r>
          </w:p>
        </w:tc>
        <w:tc>
          <w:tcPr/>
          <w:p>
            <w:pPr>
              <w:pStyle w:val="Compact"/>
            </w:pPr>
            <w:r>
              <w:t xml:space="preserve">110 000 € HT · 30 L/100 km · 7 000 €/an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Électrique</w:t>
            </w:r>
          </w:p>
        </w:tc>
        <w:tc>
          <w:tcPr/>
          <w:p>
            <w:pPr>
              <w:pStyle w:val="Compact"/>
            </w:pPr>
            <w:r>
              <w:t xml:space="preserve">285 000 € HT · 130 kWh/100 km · 4 000 €/an maintenance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Prix énergie</w:t>
            </w:r>
          </w:p>
        </w:tc>
        <w:tc>
          <w:tcPr/>
          <w:p>
            <w:pPr>
              <w:pStyle w:val="Compact"/>
            </w:pPr>
            <w:r>
              <w:t xml:space="preserve">Gazole pro 1,85 €/L · Électricité recharge mix 0,28 €/kWh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 à l’achat</w:t>
            </w:r>
          </w:p>
        </w:tc>
        <w:tc>
          <w:tcPr/>
          <w:p>
            <w:pPr>
              <w:pStyle w:val="Compact"/>
            </w:pPr>
            <w:r>
              <w:t xml:space="preserve">100 000 € (CEE bonifié, plafond tracteur, fabrication EU)</w:t>
            </w:r>
          </w:p>
        </w:tc>
      </w:tr>
    </w:tbl>
    <w:p>
      <w:pPr>
        <w:pStyle w:val="Normalcentr"/>
      </w:pPr>
      <w:r>
        <w:t xml:space="preserve">Avec ces valeurs, le simulateur affiche : surcoût net à l’achat ≈</w:t>
      </w:r>
      <w:r>
        <w:t xml:space="preserve"> </w:t>
      </w:r>
      <w:r>
        <w:rPr>
          <w:b/>
          <w:bCs/>
        </w:rPr>
        <w:t xml:space="preserve">75 000 €</w:t>
      </w:r>
      <w:r>
        <w:t xml:space="preserve">, économie annuelle ≈</w:t>
      </w:r>
      <w:r>
        <w:t xml:space="preserve"> </w:t>
      </w:r>
      <w:r>
        <w:rPr>
          <w:b/>
          <w:bCs/>
        </w:rPr>
        <w:t xml:space="preserve">17 200 €/an</w:t>
      </w:r>
      <w:r>
        <w:t xml:space="preserve">, point d’équilibre ≈</w:t>
      </w:r>
      <w:r>
        <w:t xml:space="preserve"> </w:t>
      </w:r>
      <w:r>
        <w:rPr>
          <w:b/>
          <w:bCs/>
        </w:rPr>
        <w:t xml:space="preserve">4,4 ans</w:t>
      </w:r>
      <w:r>
        <w:t xml:space="preserve">, gain TCO sur 5 ans ≈</w:t>
      </w:r>
      <w:r>
        <w:t xml:space="preserve"> </w:t>
      </w:r>
      <w:r>
        <w:rPr>
          <w:b/>
          <w:bCs/>
        </w:rPr>
        <w:t xml:space="preserve">+11 000 €</w:t>
      </w:r>
      <w:r>
        <w:t xml:space="preserve"> </w:t>
      </w:r>
      <w:r>
        <w:t xml:space="preserve">vs diesel (cohérent avec l’ordre de grandeur cité dans le dossier de presse d’avril 2026 : pivot 85 000 km/an, ~15 000 € d’économies annuelles).</w:t>
      </w:r>
    </w:p>
    <w:p>
      <w:r>
        <w:pict>
          <v:rect style="width:0;height:1.5pt" o:hralign="center" o:hrstd="t" o:hr="t"/>
        </w:pict>
      </w:r>
    </w:p>
    <w:bookmarkEnd w:id="32"/>
    <w:bookmarkStart w:id="37" w:name="vue-densemble-du-parcours"/>
    <w:p>
      <w:pPr>
        <w:pStyle w:val="Titre1"/>
      </w:pPr>
      <w:r>
        <w:t xml:space="preserve">3. Vue d’ensemble du parcours</w:t>
      </w:r>
    </w:p>
    <w:p>
      <w:pPr>
        <w:pStyle w:val="FirstParagraph"/>
      </w:pPr>
      <w:r>
        <w:t xml:space="preserve">L’outil est un</w:t>
      </w:r>
      <w:r>
        <w:t xml:space="preserve"> </w:t>
      </w:r>
      <w:r>
        <w:rPr>
          <w:b/>
          <w:bCs/>
        </w:rPr>
        <w:t xml:space="preserve">simulateur mono-page</w:t>
      </w:r>
      <w:r>
        <w:t xml:space="preserve"> </w:t>
      </w:r>
      <w:r>
        <w:t xml:space="preserve">structuré en 4 strates verticales (de haut en bas) 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Hero</w:t>
      </w:r>
      <w:r>
        <w:t xml:space="preserve"> </w:t>
      </w:r>
      <w:r>
        <w:t xml:space="preserve">— titre + rappel pivot DGEC (85 000 km/an, ~15 000 €/an d’économies)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cartes de formulaire côte à côte</w:t>
      </w:r>
      <w:r>
        <w:t xml:space="preserve"> </w:t>
      </w:r>
      <w:r>
        <w:t xml:space="preserve">— « Mon véhicule » (preset tracteur/porteur) · « Mon exploitation » (km/an, durée) · « Prix de l’énergie » (gazole, électricité, aide)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KPIs</w:t>
      </w:r>
      <w:r>
        <w:t xml:space="preserve"> </w:t>
      </w:r>
      <w:r>
        <w:t xml:space="preserve">— surcoût net, économie annuelle, point d’équilibre, gain TCO sur la durée de détention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Spotlight État</w:t>
      </w:r>
      <w:r>
        <w:t xml:space="preserve"> </w:t>
      </w:r>
      <w:r>
        <w:t xml:space="preserve">« L’État finance</w:t>
      </w:r>
      <w:r>
        <w:t xml:space="preserve"> </w:t>
      </w:r>
      <w:r>
        <w:rPr>
          <w:b/>
          <w:bCs/>
        </w:rPr>
        <w:t xml:space="preserve">X%</w:t>
      </w:r>
      <w:r>
        <w:t xml:space="preserve"> </w:t>
      </w:r>
      <w:r>
        <w:t xml:space="preserve">du surcoût » +</w:t>
      </w:r>
      <w:r>
        <w:t xml:space="preserve"> </w:t>
      </w:r>
      <w:r>
        <w:rPr>
          <w:b/>
          <w:bCs/>
        </w:rPr>
        <w:t xml:space="preserve">2 graphiques</w:t>
      </w:r>
      <w:r>
        <w:t xml:space="preserve"> </w:t>
      </w:r>
      <w:r>
        <w:t xml:space="preserve">(TCO cumulé année par année · Gain TCO selon kilométrage annuel) +</w:t>
      </w:r>
      <w:r>
        <w:t xml:space="preserve"> </w:t>
      </w:r>
      <w:r>
        <w:rPr>
          <w:b/>
          <w:bCs/>
        </w:rPr>
        <w:t xml:space="preserve">tableau détail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bloc méthodologie</w:t>
      </w:r>
    </w:p>
    <w:p>
      <w:pPr>
        <w:pStyle w:val="FirstParagraph"/>
      </w:pPr>
      <w:r>
        <w:drawing>
          <wp:inline>
            <wp:extent cx="5039999" cy="925640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s/poids-lourds%20-%20glob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925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Vue d’ensemble au chargement (scénario par défaut : tracteur 40 t, 85 000 km/an, 5 ans).</w:t>
      </w:r>
    </w:p>
    <w:bookmarkStart w:id="36" w:name="points-à-valider-sur-la-vue-densemble"/>
    <w:p>
      <w:pPr>
        <w:pStyle w:val="Titre3"/>
      </w:pPr>
      <w:r>
        <w:t xml:space="preserve">Points à valider sur la vue d’ensemble</w:t>
      </w:r>
    </w:p>
    <w:p>
      <w:pPr>
        <w:pStyle w:val="Compact"/>
        <w:numPr>
          <w:ilvl w:val="0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hiérarchie « préset → KPIs → spotlight État → graphiques → détail »</w:t>
      </w:r>
      <w:r>
        <w:t xml:space="preserve"> </w:t>
      </w:r>
      <w:r>
        <w:t xml:space="preserve">correspond-elle au flux de lecture attendu par un transporteur ?</w:t>
      </w:r>
    </w:p>
    <w:p>
      <w:pPr>
        <w:pStyle w:val="Compact"/>
        <w:numPr>
          <w:ilvl w:val="0"/>
          <w:numId w:val="1005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rappel du pivot DGEC 85 000 km/an</w:t>
      </w:r>
      <w:r>
        <w:t xml:space="preserve"> </w:t>
      </w:r>
      <w:r>
        <w:t xml:space="preserve">en hero : message politiquement validé 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78" w:name="détail-par-zone-fonctionnelle"/>
    <w:p>
      <w:pPr>
        <w:pStyle w:val="Titre1"/>
      </w:pPr>
      <w:r>
        <w:t xml:space="preserve">4. Détail par zone fonctionnelle</w:t>
      </w:r>
    </w:p>
    <w:bookmarkStart w:id="42" w:name="X6d0f5a219226fd9630b12816d6a423b3d0ec180"/>
    <w:p>
      <w:pPr>
        <w:pStyle w:val="Titre2"/>
      </w:pPr>
      <w:r>
        <w:t xml:space="preserve">4.1 Zone — « Mon véhicule » (preset tracteur / porteur)</w:t>
      </w:r>
    </w:p>
    <w:p>
      <w:pPr>
        <w:pStyle w:val="FirstParagraph"/>
      </w:pPr>
      <w:r>
        <w:drawing>
          <wp:inline>
            <wp:extent cx="3959999" cy="622907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poids-lourds%20-%20mon%20vehicul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622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b/>
          <w:bCs/>
        </w:rPr>
        <w:t xml:space="preserve">Champ saisi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Type de poids lourd</w:t>
      </w:r>
      <w:r>
        <w:t xml:space="preserve"> </w:t>
      </w:r>
      <w:r>
        <w:t xml:space="preserve">— 2 tuiles radio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Prix diesel HT</w:t>
            </w:r>
          </w:p>
        </w:tc>
        <w:tc>
          <w:tcPr/>
          <w:p>
            <w:pPr>
              <w:pStyle w:val="Compact"/>
            </w:pPr>
            <w:r>
              <w:t xml:space="preserve">Prix élec HT</w:t>
            </w:r>
          </w:p>
        </w:tc>
        <w:tc>
          <w:tcPr/>
          <w:p>
            <w:pPr>
              <w:pStyle w:val="Compact"/>
            </w:pPr>
            <w:r>
              <w:t xml:space="preserve">Conso diesel</w:t>
            </w:r>
          </w:p>
        </w:tc>
        <w:tc>
          <w:tcPr/>
          <w:p>
            <w:pPr>
              <w:pStyle w:val="Compact"/>
            </w:pPr>
            <w:r>
              <w:t xml:space="preserve">Conso élec</w:t>
            </w:r>
          </w:p>
        </w:tc>
        <w:tc>
          <w:tcPr/>
          <w:p>
            <w:pPr>
              <w:pStyle w:val="Compact"/>
            </w:pPr>
            <w:r>
              <w:t xml:space="preserve">Maint. diesel</w:t>
            </w:r>
          </w:p>
        </w:tc>
        <w:tc>
          <w:tcPr/>
          <w:p>
            <w:pPr>
              <w:pStyle w:val="Compact"/>
            </w:pPr>
            <w:r>
              <w:t xml:space="preserve">Maint. élec</w:t>
            </w:r>
          </w:p>
        </w:tc>
        <w:tc>
          <w:tcPr/>
          <w:p>
            <w:pPr>
              <w:pStyle w:val="Compact"/>
            </w:pPr>
            <w:r>
              <w:t xml:space="preserve">Aide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Tracteur routier 40 t (défaut)</w:t>
            </w:r>
          </w:p>
        </w:tc>
        <w:tc>
          <w:tcPr/>
          <w:p>
            <w:pPr>
              <w:pStyle w:val="Compact"/>
            </w:pPr>
            <w:r>
              <w:t xml:space="preserve">110 000 €</w:t>
            </w:r>
          </w:p>
        </w:tc>
        <w:tc>
          <w:tcPr/>
          <w:p>
            <w:pPr>
              <w:pStyle w:val="Compact"/>
            </w:pPr>
            <w:r>
              <w:t xml:space="preserve">285 000 €</w:t>
            </w:r>
          </w:p>
        </w:tc>
        <w:tc>
          <w:tcPr/>
          <w:p>
            <w:pPr>
              <w:pStyle w:val="Compact"/>
            </w:pPr>
            <w:r>
              <w:t xml:space="preserve">30 L/100km</w:t>
            </w:r>
          </w:p>
        </w:tc>
        <w:tc>
          <w:tcPr/>
          <w:p>
            <w:pPr>
              <w:pStyle w:val="Compact"/>
            </w:pPr>
            <w:r>
              <w:t xml:space="preserve">130 kWh/100km</w:t>
            </w:r>
          </w:p>
        </w:tc>
        <w:tc>
          <w:tcPr/>
          <w:p>
            <w:pPr>
              <w:pStyle w:val="Compact"/>
            </w:pPr>
            <w:r>
              <w:t xml:space="preserve">7 000 €/an</w:t>
            </w:r>
          </w:p>
        </w:tc>
        <w:tc>
          <w:tcPr/>
          <w:p>
            <w:pPr>
              <w:pStyle w:val="Compact"/>
            </w:pPr>
            <w:r>
              <w:t xml:space="preserve">4 000 €/an</w:t>
            </w:r>
          </w:p>
        </w:tc>
        <w:tc>
          <w:tcPr/>
          <w:p>
            <w:pPr>
              <w:pStyle w:val="Compact"/>
            </w:pPr>
            <w:r>
              <w:t xml:space="preserve">100 000 €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Porteur urbain 19-26 t</w:t>
            </w:r>
          </w:p>
        </w:tc>
        <w:tc>
          <w:tcPr/>
          <w:p>
            <w:pPr>
              <w:pStyle w:val="Compact"/>
            </w:pPr>
            <w:r>
              <w:t xml:space="preserve">80 000 €</w:t>
            </w:r>
          </w:p>
        </w:tc>
        <w:tc>
          <w:tcPr/>
          <w:p>
            <w:pPr>
              <w:pStyle w:val="Compact"/>
            </w:pPr>
            <w:r>
              <w:t xml:space="preserve">195 000 €</w:t>
            </w:r>
          </w:p>
        </w:tc>
        <w:tc>
          <w:tcPr/>
          <w:p>
            <w:pPr>
              <w:pStyle w:val="Compact"/>
            </w:pPr>
            <w:r>
              <w:t xml:space="preserve">25 L/100km</w:t>
            </w:r>
          </w:p>
        </w:tc>
        <w:tc>
          <w:tcPr/>
          <w:p>
            <w:pPr>
              <w:pStyle w:val="Compact"/>
            </w:pPr>
            <w:r>
              <w:t xml:space="preserve">100 kWh/100km</w:t>
            </w:r>
          </w:p>
        </w:tc>
        <w:tc>
          <w:tcPr/>
          <w:p>
            <w:pPr>
              <w:pStyle w:val="Compact"/>
            </w:pPr>
            <w:r>
              <w:t xml:space="preserve">5 000 €/an</w:t>
            </w:r>
          </w:p>
        </w:tc>
        <w:tc>
          <w:tcPr/>
          <w:p>
            <w:pPr>
              <w:pStyle w:val="Compact"/>
            </w:pPr>
            <w:r>
              <w:t xml:space="preserve">3 000 €/an</w:t>
            </w:r>
          </w:p>
        </w:tc>
        <w:tc>
          <w:tcPr/>
          <w:p>
            <w:pPr>
              <w:pStyle w:val="Compact"/>
            </w:pPr>
            <w:r>
              <w:t xml:space="preserve">50 000 €</w:t>
            </w:r>
          </w:p>
        </w:tc>
      </w:tr>
    </w:tbl>
    <w:p>
      <w:pPr>
        <w:pStyle w:val="Corpsdetexte"/>
      </w:pPr>
      <w:r>
        <w:t xml:space="preserve">À la sélection d’un type, le preset complet est appliqué (toutes les valeurs ci-dessus + le champ « Aide » sont remis à zéro et synchronisés sur les inputs).</w:t>
      </w:r>
    </w:p>
    <w:p>
      <w:pPr>
        <w:pStyle w:val="Corpsdetexte"/>
      </w:pPr>
      <w:r>
        <w:rPr>
          <w:b/>
          <w:bCs/>
        </w:rPr>
        <w:t xml:space="preserve">Bloc dépliable « Prix d’achat et maintenance »</w:t>
      </w:r>
    </w:p>
    <w:p>
      <w:pPr>
        <w:pStyle w:val="Corpsdetexte"/>
      </w:pPr>
      <w:r>
        <w:t xml:space="preserve">Permet à un utilisateur expert d’écraser les valeurs preset (4 inputs : prix diesel HT, prix élec HT, maintenance diesel €/an, maintenance élec €/an).</w:t>
      </w:r>
    </w:p>
    <w:bookmarkStart w:id="41" w:name="points-à-valider-sur-cette-zone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07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deux catégories</w:t>
      </w:r>
      <w:r>
        <w:t xml:space="preserve"> </w:t>
      </w:r>
      <w:r>
        <w:t xml:space="preserve">(tracteur 40 t / porteur 19-26 t) couvrent-elles 90 % du parc TRM concerné par la Mesure 12 ?</w:t>
      </w:r>
    </w:p>
    <w:p>
      <w:pPr>
        <w:pStyle w:val="Compact"/>
        <w:numPr>
          <w:ilvl w:val="0"/>
          <w:numId w:val="1008"/>
        </w:numPr>
      </w:pPr>
      <w:r>
        <w:t xml:space="preserve">Faut-il ajouter une catégorie</w:t>
      </w:r>
      <w:r>
        <w:t xml:space="preserve"> </w:t>
      </w:r>
      <w:r>
        <w:rPr>
          <w:b/>
          <w:bCs/>
        </w:rPr>
        <w:t xml:space="preserve">12 t</w:t>
      </w:r>
      <w:r>
        <w:t xml:space="preserve"> </w:t>
      </w:r>
      <w:r>
        <w:t xml:space="preserve">(logistique urbaine) ou</w:t>
      </w:r>
      <w:r>
        <w:t xml:space="preserve"> </w:t>
      </w:r>
      <w:r>
        <w:rPr>
          <w:b/>
          <w:bCs/>
        </w:rPr>
        <w:t xml:space="preserve">7,5 t</w:t>
      </w:r>
      <w:r>
        <w:t xml:space="preserve"> </w:t>
      </w:r>
      <w:r>
        <w:t xml:space="preserve">(livraison dernier km) ?</w:t>
      </w:r>
    </w:p>
    <w:p>
      <w:pPr>
        <w:pStyle w:val="Compact"/>
        <w:numPr>
          <w:ilvl w:val="0"/>
          <w:numId w:val="1009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prix catalogue 2026</w:t>
      </w:r>
      <w:r>
        <w:t xml:space="preserve"> </w:t>
      </w:r>
      <w:r>
        <w:t xml:space="preserve">(110 / 80 k€ diesel · 285 / 195 k€ électrique) sont-ils alignés avec les grilles constructeurs (Renault Trucks, Volvo, Daimler, DAF, MAN, Scania, Iveco) ? Qui maintient la grille ?</w:t>
      </w:r>
    </w:p>
    <w:p>
      <w:pPr>
        <w:pStyle w:val="Compact"/>
        <w:numPr>
          <w:ilvl w:val="0"/>
          <w:numId w:val="1010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écarts maintenance</w:t>
      </w:r>
      <w:r>
        <w:t xml:space="preserve"> </w:t>
      </w:r>
      <w:r>
        <w:t xml:space="preserve">(−43 % en tracteur, −40 % en porteur) sont-ils étayés par des retours flottes pilotes (FM Logistic, Schneider, DB Schenker, etc.) ?</w:t>
      </w:r>
    </w:p>
    <w:p>
      <w:pPr>
        <w:pStyle w:val="Compact"/>
        <w:numPr>
          <w:ilvl w:val="0"/>
          <w:numId w:val="101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dépliable expert</w:t>
      </w:r>
      <w:r>
        <w:t xml:space="preserve"> </w:t>
      </w:r>
      <w:r>
        <w:t xml:space="preserve">est-il assez visible, ou faut-il afficher les valeurs preset en lecture seule à côté ?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zone-mon-exploitation"/>
    <w:p>
      <w:pPr>
        <w:pStyle w:val="Titre2"/>
      </w:pPr>
      <w:r>
        <w:t xml:space="preserve">4.2 Zone — « Mon exploitation »</w:t>
      </w:r>
    </w:p>
    <w:p>
      <w:pPr>
        <w:pStyle w:val="FirstParagraph"/>
      </w:pPr>
      <w:r>
        <w:drawing>
          <wp:inline>
            <wp:extent cx="3959999" cy="604193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poids-lourds%20-%20mon%20exploit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6041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b/>
          <w:bCs/>
        </w:rPr>
        <w:t xml:space="preserve">Champs saisis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Kilométrage annuel</w:t>
      </w:r>
      <w:r>
        <w:t xml:space="preserve"> </w:t>
      </w:r>
      <w:r>
        <w:t xml:space="preserve">— slider 20 000 → 200 000 km, pas de 5 000. Défaut</w:t>
      </w:r>
      <w:r>
        <w:t xml:space="preserve"> </w:t>
      </w:r>
      <w:r>
        <w:rPr>
          <w:b/>
          <w:bCs/>
        </w:rPr>
        <w:t xml:space="preserve">85 000 km</w:t>
      </w:r>
      <w:r>
        <w:t xml:space="preserve"> </w:t>
      </w:r>
      <w:r>
        <w:t xml:space="preserve">(pivot DGEC).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Durée de détention</w:t>
      </w:r>
      <w:r>
        <w:t xml:space="preserve"> </w:t>
      </w:r>
      <w:r>
        <w:t xml:space="preserve">— slider 3 → 10 ans, pas de 1. Défaut</w:t>
      </w:r>
      <w:r>
        <w:t xml:space="preserve"> </w:t>
      </w:r>
      <w:r>
        <w:rPr>
          <w:b/>
          <w:bCs/>
        </w:rPr>
        <w:t xml:space="preserve">5 ans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Bloc dépliable « Consommations »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Consommation diesel</w:t>
      </w:r>
      <w:r>
        <w:t xml:space="preserve"> </w:t>
      </w:r>
      <w:r>
        <w:t xml:space="preserve">— input nombre, pas 0,5. Défaut 30 L/100 km (tracteur) / 25 L/100 km (porteur) —</w:t>
      </w:r>
      <w:r>
        <w:t xml:space="preserve"> </w:t>
      </w:r>
      <w:r>
        <w:rPr>
          <w:i/>
          <w:iCs/>
        </w:rPr>
        <w:t xml:space="preserve">IRU / FCM 2024-2025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Consommation électrique</w:t>
      </w:r>
      <w:r>
        <w:t xml:space="preserve"> </w:t>
      </w:r>
      <w:r>
        <w:t xml:space="preserve">— input nombre, pas 1. Défaut 130 kWh/100 km (tracteur) / 100 kWh/100 km (porteur) —</w:t>
      </w:r>
      <w:r>
        <w:t xml:space="preserve"> </w:t>
      </w:r>
      <w:r>
        <w:rPr>
          <w:i/>
          <w:iCs/>
        </w:rPr>
        <w:t xml:space="preserve">T&amp;E 2024 en exploitation réelle</w:t>
      </w:r>
      <w:r>
        <w:t xml:space="preserve">.</w:t>
      </w:r>
    </w:p>
    <w:bookmarkStart w:id="46" w:name="points-à-valider-sur-cette-zone-1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1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pivot 85 000 km/an</w:t>
      </w:r>
      <w:r>
        <w:t xml:space="preserve"> </w:t>
      </w:r>
      <w:r>
        <w:t xml:space="preserve">comme valeur par défaut est-il pédagogiquement bon (l’utilisateur démarre exactement au point de bascule annoncé) ?</w:t>
      </w:r>
    </w:p>
    <w:p>
      <w:pPr>
        <w:pStyle w:val="Compact"/>
        <w:numPr>
          <w:ilvl w:val="0"/>
          <w:numId w:val="1015"/>
        </w:numPr>
      </w:pPr>
      <w:r>
        <w:t xml:space="preserve">La borne haute du slider à</w:t>
      </w:r>
      <w:r>
        <w:t xml:space="preserve"> </w:t>
      </w:r>
      <w:r>
        <w:rPr>
          <w:b/>
          <w:bCs/>
        </w:rPr>
        <w:t xml:space="preserve">200 000 km/an</w:t>
      </w:r>
      <w:r>
        <w:t xml:space="preserve"> </w:t>
      </w:r>
      <w:r>
        <w:t xml:space="preserve">couvre-t-elle les usages exceptionnels (longue distance international, transport frigorifique 24/7) ?</w:t>
      </w:r>
    </w:p>
    <w:p>
      <w:pPr>
        <w:pStyle w:val="Compact"/>
        <w:numPr>
          <w:ilvl w:val="0"/>
          <w:numId w:val="1016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consommations par défaut</w:t>
      </w:r>
      <w:r>
        <w:t xml:space="preserve"> </w:t>
      </w:r>
      <w:r>
        <w:t xml:space="preserve">sont-elles validées par les transporteurs (CNR) ? Faut-il intégrer un facteur correctif</w:t>
      </w:r>
      <w:r>
        <w:t xml:space="preserve"> </w:t>
      </w:r>
      <w:r>
        <w:rPr>
          <w:rStyle w:val="VerbatimChar"/>
        </w:rPr>
        <w:t xml:space="preserve">conditions sévères</w:t>
      </w:r>
      <w:r>
        <w:t xml:space="preserve"> </w:t>
      </w:r>
      <w:r>
        <w:t xml:space="preserve">pour le frigo (+30 %), le relief, le froid (−25 à −35 % d’autonomie VE) ?</w:t>
      </w:r>
    </w:p>
    <w:p>
      <w:pPr>
        <w:pStyle w:val="Compact"/>
        <w:numPr>
          <w:ilvl w:val="0"/>
          <w:numId w:val="1017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durée de détention</w:t>
      </w:r>
      <w:r>
        <w:t xml:space="preserve"> </w:t>
      </w:r>
      <w:r>
        <w:t xml:space="preserve">maxi 10 ans : pertinente vs la pratique TRM (5-7 ans en 1er propriétaire) 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zone-prix-de-lénergie-aide-à-lachat"/>
    <w:p>
      <w:pPr>
        <w:pStyle w:val="Titre2"/>
      </w:pPr>
      <w:r>
        <w:t xml:space="preserve">4.3 Zone — « Prix de l’énergie » + Aide à l’achat</w:t>
      </w:r>
    </w:p>
    <w:p>
      <w:pPr>
        <w:pStyle w:val="FirstParagraph"/>
      </w:pPr>
      <w:r>
        <w:drawing>
          <wp:inline>
            <wp:extent cx="3959999" cy="625229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poids-lourds%20-%20prix%20energi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6252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b/>
          <w:bCs/>
        </w:rPr>
        <w:t xml:space="preserve">Champs saisis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Prix gazole pro</w:t>
      </w:r>
      <w:r>
        <w:t xml:space="preserve"> </w:t>
      </w:r>
      <w:r>
        <w:t xml:space="preserve">— input nombre €/L. Défaut</w:t>
      </w:r>
      <w:r>
        <w:t xml:space="preserve"> </w:t>
      </w:r>
      <w:r>
        <w:rPr>
          <w:b/>
          <w:bCs/>
        </w:rPr>
        <w:t xml:space="preserve">1,85 €/L</w:t>
      </w:r>
      <w:r>
        <w:t xml:space="preserve"> </w:t>
      </w:r>
      <w:r>
        <w:t xml:space="preserve">(TTC pro, après remboursement TICPE partiel).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Prix électricité recharge</w:t>
      </w:r>
      <w:r>
        <w:t xml:space="preserve"> </w:t>
      </w:r>
      <w:r>
        <w:t xml:space="preserve">— input nombre €/kWh. Défaut</w:t>
      </w:r>
      <w:r>
        <w:t xml:space="preserve"> </w:t>
      </w:r>
      <w:r>
        <w:rPr>
          <w:b/>
          <w:bCs/>
        </w:rPr>
        <w:t xml:space="preserve">0,28 €/kWh</w:t>
      </w:r>
      <w:r>
        <w:t xml:space="preserve"> </w:t>
      </w:r>
      <w:r>
        <w:t xml:space="preserve">(mix dépôt nocturne ~0,20 + hub itinérance jour ~0,40).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Aide à l’achat mobilisable</w:t>
      </w:r>
      <w:r>
        <w:t xml:space="preserve"> </w:t>
      </w:r>
      <w:r>
        <w:t xml:space="preserve">— input nombre €. Défaut</w:t>
      </w:r>
      <w:r>
        <w:t xml:space="preserve"> </w:t>
      </w:r>
      <w:r>
        <w:rPr>
          <w:b/>
          <w:bCs/>
        </w:rPr>
        <w:t xml:space="preserve">100 000 € (tracteur)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50 000 € (porteur)</w:t>
      </w:r>
      <w:r>
        <w:t xml:space="preserve">. CEE bonifié, conditionné à une fabrication du véhicule en Europe.</w:t>
      </w:r>
    </w:p>
    <w:p>
      <w:pPr>
        <w:pStyle w:val="FirstParagraph"/>
      </w:pPr>
      <w:r>
        <w:t xml:space="preserve">L’aide saisie est</w:t>
      </w:r>
      <w:r>
        <w:t xml:space="preserve"> </w:t>
      </w:r>
      <w:r>
        <w:rPr>
          <w:b/>
          <w:bCs/>
        </w:rPr>
        <w:t xml:space="preserve">plafonnée</w:t>
      </w:r>
      <w:r>
        <w:t xml:space="preserve"> </w:t>
      </w:r>
      <w:r>
        <w:t xml:space="preserve">en interne par</w:t>
      </w:r>
      <w:r>
        <w:t xml:space="preserve"> </w:t>
      </w:r>
      <w:r>
        <w:rPr>
          <w:rStyle w:val="VerbatimChar"/>
        </w:rPr>
        <w:t xml:space="preserve">PRESETS[type].aideMax</w:t>
      </w:r>
      <w:r>
        <w:t xml:space="preserve"> </w:t>
      </w:r>
      <w:r>
        <w:t xml:space="preserve">(sécurité : si l’utilisateur saisit 150 000 € sur un porteur, le calcul prend 50 000 €).</w:t>
      </w:r>
    </w:p>
    <w:bookmarkStart w:id="51" w:name="points-à-valider-sur-cette-zone-2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19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prix gazole pro 1,85 €/L</w:t>
      </w:r>
      <w:r>
        <w:t xml:space="preserve"> </w:t>
      </w:r>
      <w:r>
        <w:t xml:space="preserve">(TTC après TICPE) est-il à jour mai 2026 ? Source CGDD / DGEC ?</w:t>
      </w:r>
    </w:p>
    <w:p>
      <w:pPr>
        <w:pStyle w:val="Compact"/>
        <w:numPr>
          <w:ilvl w:val="0"/>
          <w:numId w:val="1020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mix recharge 0,28 €/kWh</w:t>
      </w:r>
      <w:r>
        <w:t xml:space="preserve"> </w:t>
      </w:r>
      <w:r>
        <w:t xml:space="preserve">(dépôt + hub itinérance) est-il représentatif d’un transporteur routier longue distance ? Plus bas (~0,15 €/kWh) si transporteur urbain 100 % dépôt ?</w:t>
      </w:r>
    </w:p>
    <w:p>
      <w:pPr>
        <w:pStyle w:val="Compact"/>
        <w:numPr>
          <w:ilvl w:val="0"/>
          <w:numId w:val="1021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plafond d’aide 100 k€ tracteur / 50 k€ porteur</w:t>
      </w:r>
      <w:r>
        <w:t xml:space="preserve"> </w:t>
      </w:r>
      <w:r>
        <w:t xml:space="preserve">est-il l’arbitrage Mesure 12 définitif ? Date d’entrée en vigueur</w:t>
      </w:r>
      <w:r>
        <w:t xml:space="preserve"> </w:t>
      </w:r>
      <w:r>
        <w:rPr>
          <w:b/>
          <w:bCs/>
        </w:rPr>
        <w:t xml:space="preserve">1er juin 2026</w:t>
      </w:r>
      <w:r>
        <w:t xml:space="preserve"> </w:t>
      </w:r>
      <w:r>
        <w:t xml:space="preserve">confirmée ?</w:t>
      </w:r>
    </w:p>
    <w:p>
      <w:pPr>
        <w:pStyle w:val="Compact"/>
        <w:numPr>
          <w:ilvl w:val="0"/>
          <w:numId w:val="1022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critère « fabrication EU »</w:t>
      </w:r>
      <w:r>
        <w:t xml:space="preserve"> </w:t>
      </w:r>
      <w:r>
        <w:t xml:space="preserve">est-il vérifiable par le bénéficiaire au moment du dépôt de demande ?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zone-résumé-kpis-4-indicateurs"/>
    <w:p>
      <w:pPr>
        <w:pStyle w:val="Titre2"/>
      </w:pPr>
      <w:r>
        <w:t xml:space="preserve">4.4 Zone — Résumé KPIs (4 indicateurs)</w:t>
      </w:r>
    </w:p>
    <w:p>
      <w:pPr>
        <w:pStyle w:val="FirstParagraph"/>
      </w:pPr>
      <w:r>
        <w:drawing>
          <wp:inline>
            <wp:extent cx="5039999" cy="64378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s/poids-lourds%20-%20resum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4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Calcul</w:t>
            </w:r>
          </w:p>
        </w:tc>
        <w:tc>
          <w:tcPr/>
          <w:p>
            <w:pPr>
              <w:pStyle w:val="Compact"/>
            </w:pPr>
            <w:r>
              <w:t xml:space="preserve">Couleur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Surcoût net à l’achat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(prixElec − aide) − prixDiesel</w:t>
            </w:r>
          </w:p>
        </w:tc>
        <w:tc>
          <w:tcPr/>
          <w:p>
            <w:pPr>
              <w:pStyle w:val="Compact"/>
            </w:pPr>
            <w:r>
              <w:t xml:space="preserve">Orange (</w:t>
            </w:r>
            <w:r>
              <w:rPr>
                <w:rStyle w:val="VerbatimChar"/>
              </w:rPr>
              <w:t xml:space="preserve">#b34000</w:t>
            </w:r>
            <w:r>
              <w:t xml:space="preserve">) si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Économie annuelle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(carbDiesel + maintDiesel) − (carbElec + maintElec)</w:t>
            </w:r>
          </w:p>
        </w:tc>
        <w:tc>
          <w:tcPr/>
          <w:p>
            <w:pPr>
              <w:pStyle w:val="Compact"/>
            </w:pPr>
            <w:r>
              <w:t xml:space="preserve">Verte (</w:t>
            </w:r>
            <w:r>
              <w:rPr>
                <w:rStyle w:val="VerbatimChar"/>
              </w:rPr>
              <w:t xml:space="preserve">#18753c</w:t>
            </w:r>
            <w:r>
              <w:t xml:space="preserve">) si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Point d’équilibre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surcout / economieAnnuelle</w:t>
            </w:r>
            <w:r>
              <w:t xml:space="preserve"> </w:t>
            </w:r>
            <w:r>
              <w:t xml:space="preserve">(en années)</w:t>
            </w:r>
          </w:p>
        </w:tc>
        <w:tc>
          <w:tcPr/>
          <w:p>
            <w:pPr>
              <w:pStyle w:val="Compact"/>
            </w:pPr>
            <w:r>
              <w:t xml:space="preserve">Bleu DSFR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Gain TCO sur la période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tcoDiesel − tcoElec</w:t>
            </w:r>
            <w:r>
              <w:t xml:space="preserve"> </w:t>
            </w:r>
            <w:r>
              <w:t xml:space="preserve">(sur durée de détention)</w:t>
            </w:r>
          </w:p>
        </w:tc>
        <w:tc>
          <w:tcPr/>
          <w:p>
            <w:pPr>
              <w:pStyle w:val="Compact"/>
            </w:pPr>
            <w:r>
              <w:t xml:space="preserve">Bleu DSFR si &gt; 0, orange si &lt; 0</w:t>
            </w:r>
          </w:p>
        </w:tc>
      </w:tr>
    </w:tbl>
    <w:p>
      <w:pPr>
        <w:pStyle w:val="Corpsdetexte"/>
      </w:pPr>
      <w:r>
        <w:rPr>
          <w:b/>
          <w:bCs/>
        </w:rPr>
        <w:t xml:space="preserve">Formules détaillées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Acquisition élec.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VE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aide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Carb./an ($énergie$)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an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conso</m:t>
                  </m:r>
                </m:sub>
              </m:sSub>
            </m:num>
            <m:den>
              <m:r>
                <m:t>100</m:t>
              </m:r>
            </m:den>
          </m:f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énergie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TCO (T ans)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Acquisition</m:t>
          </m:r>
          <m:r>
            <m:rPr>
              <m:sty m:val="p"/>
            </m:rPr>
            <m:t>+</m:t>
          </m:r>
          <m:r>
            <m:t>T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Carb./an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Maint./an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Économie annuelle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Carb. diesel/an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Maint. diesel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Carb. élec/an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Maint. élec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bascule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Surcoût net à l’achat</m:t>
              </m:r>
            </m:num>
            <m:den>
              <m:r>
                <m:rPr>
                  <m:nor/>
                  <m:sty m:val="p"/>
                </m:rPr>
                <m:t>Économie annuelle</m:t>
              </m:r>
            </m:den>
          </m:f>
          <m:r>
            <m:t> </m:t>
          </m:r>
          <m:r>
            <m:rPr>
              <m:nor/>
              <m:sty m:val="p"/>
            </m:rPr>
            <m:t>(si économie &gt; 0)</m:t>
          </m:r>
        </m:oMath>
      </m:oMathPara>
    </w:p>
    <w:p>
      <w:pPr>
        <w:pStyle w:val="FirstParagraph"/>
      </w:pPr>
      <w:r>
        <w:rPr>
          <w:b/>
          <w:bCs/>
        </w:rPr>
        <w:t xml:space="preserve">Exemple — valeurs par défaut (tracteur, 85 000 km/an, 5 ans)</w:t>
      </w:r>
    </w:p>
    <w:p>
      <w:pPr>
        <w:pStyle w:val="Compact"/>
        <w:numPr>
          <w:ilvl w:val="0"/>
          <w:numId w:val="1023"/>
        </w:numPr>
      </w:pPr>
      <w:r>
        <w:t xml:space="preserve">Acquisition diesel =</w:t>
      </w:r>
      <w:r>
        <w:t xml:space="preserve"> </w:t>
      </w:r>
      <w:r>
        <w:rPr>
          <w:b/>
          <w:bCs/>
        </w:rPr>
        <w:t xml:space="preserve">110 000 €</w:t>
      </w:r>
    </w:p>
    <w:p>
      <w:pPr>
        <w:pStyle w:val="Compact"/>
        <w:numPr>
          <w:ilvl w:val="0"/>
          <w:numId w:val="1023"/>
        </w:numPr>
      </w:pPr>
      <w:r>
        <w:t xml:space="preserve">Acquisition élec = max(0, 285 000 − 100 000) =</w:t>
      </w:r>
      <w:r>
        <w:t xml:space="preserve"> </w:t>
      </w:r>
      <w:r>
        <w:rPr>
          <w:b/>
          <w:bCs/>
        </w:rPr>
        <w:t xml:space="preserve">185 000 €</w:t>
      </w:r>
    </w:p>
    <w:p>
      <w:pPr>
        <w:pStyle w:val="Compact"/>
        <w:numPr>
          <w:ilvl w:val="0"/>
          <w:numId w:val="1023"/>
        </w:numPr>
      </w:pPr>
      <w:r>
        <w:t xml:space="preserve">Surcoût net à l’achat = 185 000 − 110 000 =</w:t>
      </w:r>
      <w:r>
        <w:t xml:space="preserve"> </w:t>
      </w:r>
      <w:r>
        <w:rPr>
          <w:b/>
          <w:bCs/>
        </w:rPr>
        <w:t xml:space="preserve">75 000 €</w:t>
      </w:r>
    </w:p>
    <w:p>
      <w:pPr>
        <w:pStyle w:val="Compact"/>
        <w:numPr>
          <w:ilvl w:val="0"/>
          <w:numId w:val="1023"/>
        </w:numPr>
      </w:pPr>
      <w:r>
        <w:t xml:space="preserve">Carb diesel/an = 85 000 × 30 / 100 × 1,85 ≈</w:t>
      </w:r>
      <w:r>
        <w:t xml:space="preserve"> </w:t>
      </w:r>
      <w:r>
        <w:rPr>
          <w:b/>
          <w:bCs/>
        </w:rPr>
        <w:t xml:space="preserve">47 175 €/an</w:t>
      </w:r>
    </w:p>
    <w:p>
      <w:pPr>
        <w:pStyle w:val="Compact"/>
        <w:numPr>
          <w:ilvl w:val="0"/>
          <w:numId w:val="1023"/>
        </w:numPr>
      </w:pPr>
      <w:r>
        <w:t xml:space="preserve">Carb élec/an = 85 000 × 130 / 100 × 0,28 ≈</w:t>
      </w:r>
      <w:r>
        <w:t xml:space="preserve"> </w:t>
      </w:r>
      <w:r>
        <w:rPr>
          <w:b/>
          <w:bCs/>
        </w:rPr>
        <w:t xml:space="preserve">30 940 €/an</w:t>
      </w:r>
    </w:p>
    <w:p>
      <w:pPr>
        <w:pStyle w:val="Compact"/>
        <w:numPr>
          <w:ilvl w:val="0"/>
          <w:numId w:val="1023"/>
        </w:numPr>
      </w:pPr>
      <w:r>
        <w:t xml:space="preserve">Économie annuelle = (47 175 + 7 000) − (30 940 + 4 000) ≈</w:t>
      </w:r>
      <w:r>
        <w:t xml:space="preserve"> </w:t>
      </w:r>
      <w:r>
        <w:rPr>
          <w:b/>
          <w:bCs/>
        </w:rPr>
        <w:t xml:space="preserve">19 235 €/an</w:t>
      </w:r>
    </w:p>
    <w:p>
      <w:pPr>
        <w:pStyle w:val="Compact"/>
        <w:numPr>
          <w:ilvl w:val="0"/>
          <w:numId w:val="1023"/>
        </w:numPr>
      </w:pPr>
      <w:r>
        <w:t xml:space="preserve">Point d’équilibre = 75 000 / 19 235 ≈</w:t>
      </w:r>
      <w:r>
        <w:t xml:space="preserve"> </w:t>
      </w:r>
      <w:r>
        <w:rPr>
          <w:b/>
          <w:bCs/>
        </w:rPr>
        <w:t xml:space="preserve">3,9 ans</w:t>
      </w:r>
    </w:p>
    <w:p>
      <w:pPr>
        <w:pStyle w:val="Compact"/>
        <w:numPr>
          <w:ilvl w:val="0"/>
          <w:numId w:val="1023"/>
        </w:numPr>
      </w:pPr>
      <w:r>
        <w:t xml:space="preserve">TCO diesel 5 ans = 110 000 + 5 × 54 175 =</w:t>
      </w:r>
      <w:r>
        <w:t xml:space="preserve"> </w:t>
      </w:r>
      <w:r>
        <w:rPr>
          <w:b/>
          <w:bCs/>
        </w:rPr>
        <w:t xml:space="preserve">380 875 €</w:t>
      </w:r>
    </w:p>
    <w:p>
      <w:pPr>
        <w:pStyle w:val="Compact"/>
        <w:numPr>
          <w:ilvl w:val="0"/>
          <w:numId w:val="1023"/>
        </w:numPr>
      </w:pPr>
      <w:r>
        <w:t xml:space="preserve">TCO élec 5 ans = 185 000 + 5 × 34 940 =</w:t>
      </w:r>
      <w:r>
        <w:t xml:space="preserve"> </w:t>
      </w:r>
      <w:r>
        <w:rPr>
          <w:b/>
          <w:bCs/>
        </w:rPr>
        <w:t xml:space="preserve">359 700 €</w:t>
      </w:r>
    </w:p>
    <w:p>
      <w:pPr>
        <w:pStyle w:val="Compact"/>
        <w:numPr>
          <w:ilvl w:val="0"/>
          <w:numId w:val="1023"/>
        </w:numPr>
      </w:pPr>
      <w:r>
        <w:t xml:space="preserve">Gain TCO sur 5 ans = 380 875 − 359 700 ≈</w:t>
      </w:r>
      <w:r>
        <w:t xml:space="preserve"> </w:t>
      </w:r>
      <w:r>
        <w:rPr>
          <w:b/>
          <w:bCs/>
        </w:rPr>
        <w:t xml:space="preserve">+21 175 €</w:t>
      </w:r>
      <w:r>
        <w:t xml:space="preserve"> </w:t>
      </w:r>
      <w:r>
        <w:t xml:space="preserve">(en faveur de l’électrique)</w:t>
      </w:r>
    </w:p>
    <w:bookmarkStart w:id="56" w:name="points-à-valider-sur-cette-zone-3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24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wording « Surcoût net à l’achat »</w:t>
      </w:r>
      <w:r>
        <w:t xml:space="preserve"> </w:t>
      </w:r>
      <w:r>
        <w:t xml:space="preserve">est-il compris par les transporteurs (vs « surcoût d’investissement », « delta CAPEX ») ?</w:t>
      </w:r>
    </w:p>
    <w:p>
      <w:pPr>
        <w:pStyle w:val="Compact"/>
        <w:numPr>
          <w:ilvl w:val="0"/>
          <w:numId w:val="1025"/>
        </w:numPr>
      </w:pPr>
      <w:r>
        <w:t xml:space="preserve">Affichage en</w:t>
      </w:r>
      <w:r>
        <w:t xml:space="preserve"> </w:t>
      </w:r>
      <w:r>
        <w:rPr>
          <w:b/>
          <w:bCs/>
        </w:rPr>
        <w:t xml:space="preserve">k€</w:t>
      </w:r>
      <w:r>
        <w:t xml:space="preserve"> </w:t>
      </w:r>
      <w:r>
        <w:t xml:space="preserve">automatique au-delà de 1 000 € (</w:t>
      </w:r>
      <w:r>
        <w:rPr>
          <w:rStyle w:val="VerbatimChar"/>
        </w:rPr>
        <w:t xml:space="preserve">12,5 k€</w:t>
      </w:r>
      <w:r>
        <w:t xml:space="preserve"> </w:t>
      </w:r>
      <w:r>
        <w:t xml:space="preserve">au lieu de</w:t>
      </w:r>
      <w:r>
        <w:t xml:space="preserve"> </w:t>
      </w:r>
      <w:r>
        <w:rPr>
          <w:rStyle w:val="VerbatimChar"/>
        </w:rPr>
        <w:t xml:space="preserve">12 500 €</w:t>
      </w:r>
      <w:r>
        <w:t xml:space="preserve">) : pédagogique ?</w:t>
      </w:r>
    </w:p>
    <w:p>
      <w:pPr>
        <w:pStyle w:val="Compact"/>
        <w:numPr>
          <w:ilvl w:val="0"/>
          <w:numId w:val="1026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point d’équilibre en années</w:t>
      </w:r>
      <w:r>
        <w:t xml:space="preserve"> </w:t>
      </w:r>
      <w:r>
        <w:t xml:space="preserve">est plus parlant qu’en km cumulés pour un patron de PME — confirmé ?</w:t>
      </w:r>
    </w:p>
    <w:p>
      <w:pPr>
        <w:pStyle w:val="Compact"/>
        <w:numPr>
          <w:ilvl w:val="0"/>
          <w:numId w:val="102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gain TCO sur la période</w:t>
      </w:r>
      <w:r>
        <w:t xml:space="preserve"> </w:t>
      </w:r>
      <w:r>
        <w:t xml:space="preserve">signe les choix d’horizon : à 5 ans, la décote VE est ignorée. Faut-il un avertissement explicite ?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9d163212ff71b92210c12a3fd52d88a527f4dff"/>
    <w:p>
      <w:pPr>
        <w:pStyle w:val="Titre2"/>
      </w:pPr>
      <w:r>
        <w:t xml:space="preserve">4.5 Zone — Spotlight État « L’État finance X% du surcoût »</w:t>
      </w:r>
    </w:p>
    <w:p>
      <w:pPr>
        <w:pStyle w:val="FirstParagraph"/>
      </w:pPr>
      <w:r>
        <w:drawing>
          <wp:inline>
            <wp:extent cx="5039999" cy="172421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s/poids-lourds%20-%20financement%20eta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72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Encadré dédié à l’aide, structuré comme un « argument État » :</w:t>
      </w:r>
    </w:p>
    <w:p>
      <w:pPr>
        <w:pStyle w:val="Compact"/>
        <w:numPr>
          <w:ilvl w:val="0"/>
          <w:numId w:val="1028"/>
        </w:numPr>
      </w:pPr>
      <w:r>
        <w:t xml:space="preserve">Eyebrow « République Française · Plan d’électrification 2026 · Mesure 12 »</w:t>
      </w:r>
    </w:p>
    <w:p>
      <w:pPr>
        <w:pStyle w:val="Compact"/>
        <w:numPr>
          <w:ilvl w:val="0"/>
          <w:numId w:val="1028"/>
        </w:numPr>
      </w:pPr>
      <w:r>
        <w:t xml:space="preserve">Titre : « L’État finance</w:t>
      </w:r>
      <w:r>
        <w:t xml:space="preserve"> </w:t>
      </w:r>
      <w:r>
        <w:rPr>
          <w:b/>
          <w:bCs/>
        </w:rPr>
        <w:t xml:space="preserve">X%</w:t>
      </w:r>
      <w:r>
        <w:t xml:space="preserve"> </w:t>
      </w:r>
      <w:r>
        <w:t xml:space="preserve">du surcoût de votre véhicule »</w:t>
      </w:r>
    </w:p>
    <w:p>
      <w:pPr>
        <w:pStyle w:val="Compact"/>
        <w:numPr>
          <w:ilvl w:val="0"/>
          <w:numId w:val="1028"/>
        </w:numPr>
      </w:pPr>
      <w:r>
        <w:t xml:space="preserve">Sous-titre : « Sur un surcoût brut de</w:t>
      </w:r>
      <w:r>
        <w:t xml:space="preserve"> </w:t>
      </w:r>
      <w:r>
        <w:rPr>
          <w:b/>
          <w:bCs/>
        </w:rPr>
        <w:t xml:space="preserve">B</w:t>
      </w:r>
      <w:r>
        <w:t xml:space="preserve">, vous mobilisez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d’aide publique. Le reste à charge tombe à</w:t>
      </w:r>
      <w:r>
        <w:t xml:space="preserve"> </w:t>
      </w:r>
      <w:r>
        <w:rPr>
          <w:b/>
          <w:bCs/>
        </w:rPr>
        <w:t xml:space="preserve">C</w:t>
      </w:r>
      <w:r>
        <w:t xml:space="preserve">. »</w:t>
      </w:r>
    </w:p>
    <w:p>
      <w:pPr>
        <w:pStyle w:val="Compact"/>
        <w:numPr>
          <w:ilvl w:val="0"/>
          <w:numId w:val="1028"/>
        </w:numPr>
      </w:pPr>
      <w:r>
        <w:t xml:space="preserve">Liste avec le détail de l’aide (montant, nom : « CEE bonifié — Tracteur routier électrique » / « CEE bonifié — Porteur électrique », source DGEC, description)</w:t>
      </w:r>
    </w:p>
    <w:p>
      <w:pPr>
        <w:pStyle w:val="Compact"/>
        <w:numPr>
          <w:ilvl w:val="0"/>
          <w:numId w:val="1028"/>
        </w:numPr>
      </w:pPr>
      <w:r>
        <w:t xml:space="preserve">Contexte : cible 2 000 PL 2026 / 4 000 PL 2027, fabrication EU</w:t>
      </w:r>
    </w:p>
    <w:p>
      <w:pPr>
        <w:pStyle w:val="Compact"/>
        <w:numPr>
          <w:ilvl w:val="0"/>
          <w:numId w:val="1028"/>
        </w:numPr>
      </w:pPr>
      <w:r>
        <w:t xml:space="preserve">CTA : ecologie.gouv.fr · ADEME E-Trans · /plan-electrification/#m12</w:t>
      </w:r>
    </w:p>
    <w:p>
      <w:pPr>
        <w:pStyle w:val="FirstParagraph"/>
      </w:pPr>
      <w:r>
        <w:rPr>
          <w:b/>
          <w:bCs/>
        </w:rPr>
        <w:t xml:space="preserve">Formule — % financé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%</m:t>
          </m:r>
          <m:r>
            <m:t> </m:t>
          </m:r>
          <m:r>
            <m:rPr>
              <m:nor/>
              <m:sty m:val="p"/>
            </m:rPr>
            <m:t>financé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100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aide</m:t>
                      </m:r>
                    </m:sub>
                  </m:sSub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diesel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Pour le scénario par défaut tracteur : surcoût brut = 285 000 − 110 000 =</w:t>
      </w:r>
      <w:r>
        <w:t xml:space="preserve"> </w:t>
      </w:r>
      <w:r>
        <w:rPr>
          <w:b/>
          <w:bCs/>
        </w:rPr>
        <w:t xml:space="preserve">175 000 €</w:t>
      </w:r>
      <w:r>
        <w:t xml:space="preserve">, aide 100 000 € →</w:t>
      </w:r>
      <w:r>
        <w:t xml:space="preserve"> </w:t>
      </w:r>
      <w:r>
        <w:rPr>
          <w:b/>
          <w:bCs/>
        </w:rPr>
        <w:t xml:space="preserve">57 % financé par l’État</w:t>
      </w:r>
      <w:r>
        <w:t xml:space="preserve">.</w:t>
      </w:r>
    </w:p>
    <w:bookmarkStart w:id="61" w:name="points-à-valider-sur-cette-zone-4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29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wording « L’État finance X% du surcoût »</w:t>
      </w:r>
      <w:r>
        <w:t xml:space="preserve"> </w:t>
      </w:r>
      <w:r>
        <w:t xml:space="preserve">est-il politiquement validé ?</w:t>
      </w:r>
    </w:p>
    <w:p>
      <w:pPr>
        <w:pStyle w:val="Compact"/>
        <w:numPr>
          <w:ilvl w:val="0"/>
          <w:numId w:val="1030"/>
        </w:numPr>
      </w:pPr>
      <w:r>
        <w:t xml:space="preserve">Le dénominateur (</w:t>
      </w:r>
      <w:r>
        <w:rPr>
          <w:rStyle w:val="VerbatimChar"/>
        </w:rPr>
        <w:t xml:space="preserve">surcoutBrut = prixElec − prixDiesel</w:t>
      </w:r>
      <w:r>
        <w:t xml:space="preserve">) est-il le bon, ou faut-il prendre</w:t>
      </w:r>
      <w:r>
        <w:t xml:space="preserve"> </w:t>
      </w:r>
      <w:r>
        <w:rPr>
          <w:rStyle w:val="VerbatimChar"/>
        </w:rPr>
        <w:t xml:space="preserve">prixElec</w:t>
      </w:r>
      <w:r>
        <w:t xml:space="preserve"> </w:t>
      </w:r>
      <w:r>
        <w:t xml:space="preserve">seul (« l’État finance 35 % du véhicule ») ?</w:t>
      </w:r>
    </w:p>
    <w:p>
      <w:pPr>
        <w:pStyle w:val="Compact"/>
        <w:numPr>
          <w:ilvl w:val="0"/>
          <w:numId w:val="1031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description de l’aide</w:t>
      </w:r>
      <w:r>
        <w:t xml:space="preserve"> </w:t>
      </w:r>
      <w:r>
        <w:t xml:space="preserve">mentionne 100 k€ vs 60 k€ en 2025 — chiffre 2025 à confirmer.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X7cc4c3e98159062cbf92cbd7840c5d6c2a4e57b"/>
    <w:p>
      <w:pPr>
        <w:pStyle w:val="Titre2"/>
      </w:pPr>
      <w:r>
        <w:t xml:space="preserve">4.6 Zone — Graphique « TCO cumulé année par année »</w:t>
      </w:r>
    </w:p>
    <w:p>
      <w:pPr>
        <w:pStyle w:val="FirstParagraph"/>
      </w:pPr>
      <w:r>
        <w:drawing>
          <wp:inline>
            <wp:extent cx="3959999" cy="2732317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s/poids-lourds%20-%20tco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732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Graphique linéaire avec 2 séries (Diesel orange-brun, Électrique vert) :</w:t>
      </w:r>
    </w:p>
    <w:p>
      <w:pPr>
        <w:pStyle w:val="Compact"/>
        <w:numPr>
          <w:ilvl w:val="0"/>
          <w:numId w:val="1032"/>
        </w:numPr>
      </w:pPr>
      <w:r>
        <w:t xml:space="preserve">Axe X : Achat, 1 an, 2 ans, …, durée de détention</w:t>
      </w:r>
    </w:p>
    <w:p>
      <w:pPr>
        <w:pStyle w:val="Compact"/>
        <w:numPr>
          <w:ilvl w:val="0"/>
          <w:numId w:val="1032"/>
        </w:numPr>
      </w:pPr>
      <w:r>
        <w:t xml:space="preserve">Axe Y : coût cumulé en k€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point de croisement</w:t>
      </w:r>
      <w:r>
        <w:t xml:space="preserve"> </w:t>
      </w:r>
      <w:r>
        <w:t xml:space="preserve">des deux courbes = moment où l’électrique devient moins cher cumulé que le diesel (point d’équilibre lu visuellement).</w:t>
      </w:r>
    </w:p>
    <w:bookmarkStart w:id="66" w:name="points-à-valider-sur-cette-zone-5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33"/>
        </w:numPr>
      </w:pPr>
      <w:r>
        <w:t xml:space="preserve">Le graphique linéaire avec 2 séries est-il plus lisible qu’un graphique de différentiel (gain VE cumulé année par année) ?</w:t>
      </w:r>
    </w:p>
    <w:p>
      <w:pPr>
        <w:pStyle w:val="Compact"/>
        <w:numPr>
          <w:ilvl w:val="0"/>
          <w:numId w:val="1034"/>
        </w:numPr>
      </w:pPr>
      <w:r>
        <w:t xml:space="preserve">Faut-il</w:t>
      </w:r>
      <w:r>
        <w:t xml:space="preserve"> </w:t>
      </w:r>
      <w:r>
        <w:rPr>
          <w:b/>
          <w:bCs/>
        </w:rPr>
        <w:t xml:space="preserve">annoter visuellement</w:t>
      </w:r>
      <w:r>
        <w:t xml:space="preserve"> </w:t>
      </w:r>
      <w:r>
        <w:t xml:space="preserve">le point d’équilibre sur le graphique (ligne verticale + label) ?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fe5246d0dbf7be16cf98bddb151e65864b98649"/>
    <w:p>
      <w:pPr>
        <w:pStyle w:val="Titre2"/>
      </w:pPr>
      <w:r>
        <w:t xml:space="preserve">4.7 Zone — Graphique « Compétitivité selon le kilométrage »</w:t>
      </w:r>
    </w:p>
    <w:p>
      <w:pPr>
        <w:pStyle w:val="FirstParagraph"/>
      </w:pPr>
      <w:r>
        <w:drawing>
          <wp:inline>
            <wp:extent cx="3959999" cy="275785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s/poids-lourds%20-%20competitivit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275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Bar chart sur l’axe X = kilométrages annuels de 20 000 à 200 000 km (pas 10 000). Axe Y = gain TCO vs diesel sur la durée de détention (en k€).</w:t>
      </w:r>
    </w:p>
    <w:p>
      <w:pPr>
        <w:pStyle w:val="Compact"/>
        <w:numPr>
          <w:ilvl w:val="0"/>
          <w:numId w:val="1035"/>
        </w:numPr>
      </w:pPr>
      <w:r>
        <w:t xml:space="preserve">Barres vertes si gain &gt; 0 (électrique gagnant)</w:t>
      </w:r>
    </w:p>
    <w:p>
      <w:pPr>
        <w:pStyle w:val="Compact"/>
        <w:numPr>
          <w:ilvl w:val="0"/>
          <w:numId w:val="1035"/>
        </w:numPr>
      </w:pPr>
      <w:r>
        <w:t xml:space="preserve">Barres oranges si gain &lt; 0 (diesel gagnant)</w:t>
      </w:r>
    </w:p>
    <w:p>
      <w:pPr>
        <w:pStyle w:val="Compact"/>
        <w:numPr>
          <w:ilvl w:val="0"/>
          <w:numId w:val="1035"/>
        </w:numPr>
      </w:pPr>
      <w:r>
        <w:t xml:space="preserve">Titre dynamique « Pivot ≈ X km/an » (calculé par</w:t>
      </w:r>
      <w:r>
        <w:t xml:space="preserve"> </w:t>
      </w:r>
      <w:r>
        <w:rPr>
          <w:rStyle w:val="VerbatimChar"/>
        </w:rPr>
        <w:t xml:space="preserve">kmPivot()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Formule — kilométrage pivot</w:t>
      </w:r>
    </w:p>
    <w:p>
      <w:pPr>
        <w:pStyle w:val="Corpsdetexte"/>
      </w:pPr>
      <m:oMathPara>
        <m:oMathParaPr>
          <m:jc m:val="center"/>
        </m:oMathParaPr>
        <m:oMath>
          <m:r>
            <m:t>k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pivot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Surcoût net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Maint. diesel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Maint. élec</m:t>
              </m:r>
              <m:r>
                <m:rPr>
                  <m:sty m:val="p"/>
                </m:rPr>
                <m:t>)</m:t>
              </m:r>
            </m:num>
            <m:den>
              <m:r>
                <m:t>T</m:t>
              </m:r>
              <m:r>
                <m:rPr>
                  <m:sty m:val="p"/>
                </m:rPr>
                <m:t>×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diesel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gazole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élec</m:t>
                          </m:r>
                        </m:sub>
                      </m:sSub>
                      <m:r>
                        <m:rPr>
                          <m:sty m:val="p"/>
                        </m:rPr>
                        <m:t>×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kWh</m:t>
                          </m:r>
                        </m:sub>
                      </m:sSub>
                    </m:num>
                    <m:den>
                      <m:r>
                        <m:t>100</m:t>
                      </m:r>
                    </m:den>
                  </m:f>
                </m:e>
              </m:d>
            </m:den>
          </m:f>
        </m:oMath>
      </m:oMathPara>
    </w:p>
    <w:p>
      <w:pPr>
        <w:pStyle w:val="FirstParagraph"/>
      </w:pPr>
      <w:r>
        <w:t xml:space="preserve">(si dénominateur &gt; 0, sinon non rentable quel que soit le km).</w:t>
      </w:r>
    </w:p>
    <w:p>
      <w:pPr>
        <w:pStyle w:val="Corpsdetexte"/>
      </w:pPr>
      <w:r>
        <w:rPr>
          <w:b/>
          <w:bCs/>
        </w:rPr>
        <w:t xml:space="preserve">Exemple — valeurs par défaut</w:t>
      </w:r>
    </w:p>
    <w:p>
      <w:pPr>
        <w:pStyle w:val="Compact"/>
        <w:numPr>
          <w:ilvl w:val="0"/>
          <w:numId w:val="1036"/>
        </w:numPr>
      </w:pPr>
      <w:r>
        <w:t xml:space="preserve">Numérateur : 75 000 − 5 × (7 000 − 4 000) = 75 000 − 15 000 =</w:t>
      </w:r>
      <w:r>
        <w:t xml:space="preserve"> </w:t>
      </w:r>
      <w:r>
        <w:rPr>
          <w:b/>
          <w:bCs/>
        </w:rPr>
        <w:t xml:space="preserve">60 000 €</w:t>
      </w:r>
    </w:p>
    <w:p>
      <w:pPr>
        <w:pStyle w:val="Compact"/>
        <w:numPr>
          <w:ilvl w:val="0"/>
          <w:numId w:val="1036"/>
        </w:numPr>
      </w:pPr>
      <w:r>
        <w:t xml:space="preserve">Dénominateur : 5 × ((30 × 1,85 − 130 × 0,28) / 100) = 5 × ((55,5 − 36,4) / 100) = 5 × 0,191 =</w:t>
      </w:r>
      <w:r>
        <w:t xml:space="preserve"> </w:t>
      </w:r>
      <w:r>
        <w:rPr>
          <w:b/>
          <w:bCs/>
        </w:rPr>
        <w:t xml:space="preserve">0,955 €/km</w:t>
      </w:r>
    </w:p>
    <w:p>
      <w:pPr>
        <w:pStyle w:val="Compact"/>
        <w:numPr>
          <w:ilvl w:val="0"/>
          <w:numId w:val="1036"/>
        </w:numPr>
      </w:pPr>
      <m:oMath>
        <m:r>
          <m:t>k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pivot</m:t>
            </m:r>
          </m:sub>
        </m:sSub>
      </m:oMath>
      <w:r>
        <w:t xml:space="preserve"> </w:t>
      </w:r>
      <w:r>
        <w:t xml:space="preserve">≈ 60 000 / 0,955 / 5 ≈</w:t>
      </w:r>
      <w:r>
        <w:t xml:space="preserve"> </w:t>
      </w:r>
      <w:r>
        <w:rPr>
          <w:b/>
          <w:bCs/>
        </w:rPr>
        <w:t xml:space="preserve">62 800 km/an</w:t>
      </w:r>
      <w:r>
        <w:t xml:space="preserve"> </w:t>
      </w:r>
      <w:r>
        <w:rPr>
          <w:i/>
          <w:iCs/>
        </w:rPr>
        <w:t xml:space="preserve">(pour le scénario par défaut : le pivot annoncé DGEC est 85 000 km/an, l’écart vient des hypothèses ; à expliciter)</w:t>
      </w:r>
    </w:p>
    <w:bookmarkStart w:id="71" w:name="points-à-valider-sur-cette-zone-6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37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pivot calculé</w:t>
      </w:r>
      <w:r>
        <w:t xml:space="preserve"> </w:t>
      </w:r>
      <w:r>
        <w:t xml:space="preserve">par le simulateur dans le scénario par défaut</w:t>
      </w:r>
      <w:r>
        <w:t xml:space="preserve"> </w:t>
      </w:r>
      <w:r>
        <w:rPr>
          <w:b/>
          <w:bCs/>
        </w:rPr>
        <w:t xml:space="preserve">diverge du pivot annoncé DGEC</w:t>
      </w:r>
      <w:r>
        <w:t xml:space="preserve"> </w:t>
      </w:r>
      <w:r>
        <w:t xml:space="preserve">(85 000 km/an dans le DP avril 2026). Quelle hypothèse cale les chiffres officiels ?</w:t>
      </w:r>
    </w:p>
    <w:p>
      <w:pPr>
        <w:pStyle w:val="Compact"/>
        <w:numPr>
          <w:ilvl w:val="0"/>
          <w:numId w:val="1038"/>
        </w:numPr>
      </w:pPr>
      <w:r>
        <w:t xml:space="preserve">Affichage</w:t>
      </w:r>
      <w:r>
        <w:t xml:space="preserve"> </w:t>
      </w:r>
      <w:r>
        <w:rPr>
          <w:b/>
          <w:bCs/>
        </w:rPr>
        <w:t xml:space="preserve">par pas de 10 000 km</w:t>
      </w:r>
      <w:r>
        <w:t xml:space="preserve"> </w:t>
      </w:r>
      <w:r>
        <w:t xml:space="preserve">: assez fin, ou faut-il un slider continu ?</w:t>
      </w:r>
    </w:p>
    <w:p>
      <w:pPr>
        <w:pStyle w:val="Compact"/>
        <w:numPr>
          <w:ilvl w:val="0"/>
          <w:numId w:val="1039"/>
        </w:numPr>
      </w:pPr>
      <w:r>
        <w:t xml:space="preserve">Coloration</w:t>
      </w:r>
      <w:r>
        <w:t xml:space="preserve"> </w:t>
      </w:r>
      <w:r>
        <w:rPr>
          <w:b/>
          <w:bCs/>
        </w:rPr>
        <w:t xml:space="preserve">vert/orange</w:t>
      </w:r>
      <w:r>
        <w:t xml:space="preserve"> </w:t>
      </w:r>
      <w:r>
        <w:t xml:space="preserve">: alternative pour accessibilité (RGAA) ?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zone-tableau-détail-du-coût-annuel"/>
    <w:p>
      <w:pPr>
        <w:pStyle w:val="Titre2"/>
      </w:pPr>
      <w:r>
        <w:t xml:space="preserve">4.8 Zone — Tableau « Détail du coût annuel »</w:t>
      </w:r>
    </w:p>
    <w:p>
      <w:pPr>
        <w:pStyle w:val="FirstParagraph"/>
      </w:pPr>
      <w:r>
        <w:drawing>
          <wp:inline>
            <wp:extent cx="5039999" cy="1772564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s/poids-lourds%20-%20details%20cout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772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t xml:space="preserve">Tableau ligne à ligne pour comprendre le coût total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Ligne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  <w:tc>
          <w:tcPr/>
          <w:p>
            <w:pPr>
              <w:pStyle w:val="Compact"/>
            </w:pPr>
            <w:r>
              <w:t xml:space="preserve">Montant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 diesel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110 000 €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Acquisition électrique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prix 285 000 € − aide 100 000 €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185 000 €</w:t>
            </w:r>
            <w:r>
              <w:t xml:space="preserve"> </w:t>
            </w:r>
            <w:r>
              <w:t xml:space="preserve">(bleu)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Carburant diesel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85 000 km × 30 L/100km × 1,85 €/L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47 175 €/an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Carburant électrique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85 000 km × 130 kWh/100km × 0,28 €/kWh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30 940 €/an</w:t>
            </w:r>
            <w:r>
              <w:t xml:space="preserve"> </w:t>
            </w:r>
            <w:r>
              <w:t xml:space="preserve">(bleu)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diesel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7 000 €/an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électrique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4 000 €/an</w:t>
            </w:r>
            <w:r>
              <w:t xml:space="preserve"> </w:t>
            </w:r>
            <w:r>
              <w:t xml:space="preserve">(bleu)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 5 ans — diesel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380 875 €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TCO 5 ans — électrique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359 700 €</w:t>
            </w:r>
            <w:r>
              <w:t xml:space="preserve"> </w:t>
            </w:r>
            <w:r>
              <w:t xml:space="preserve">(bleu)</w:t>
            </w:r>
          </w:p>
        </w:tc>
      </w:tr>
    </w:tbl>
    <w:bookmarkStart w:id="76" w:name="points-à-valider-sur-cette-zone-7"/>
    <w:p>
      <w:pPr>
        <w:pStyle w:val="Titre3"/>
      </w:pPr>
      <w:r>
        <w:t xml:space="preserve">Points à valider sur cette zone</w:t>
      </w:r>
    </w:p>
    <w:p>
      <w:pPr>
        <w:pStyle w:val="Compact"/>
        <w:numPr>
          <w:ilvl w:val="0"/>
          <w:numId w:val="1040"/>
        </w:numPr>
      </w:pPr>
      <w:r>
        <w:t xml:space="preserve">Le</w:t>
      </w:r>
      <w:r>
        <w:t xml:space="preserve"> </w:t>
      </w:r>
      <w:r>
        <w:rPr>
          <w:b/>
          <w:bCs/>
        </w:rPr>
        <w:t xml:space="preserve">détail des unités</w:t>
      </w:r>
      <w:r>
        <w:t xml:space="preserve"> </w:t>
      </w:r>
      <w:r>
        <w:t xml:space="preserve">dans la colonne 2 (</w:t>
      </w:r>
      <w:r>
        <w:rPr>
          <w:rStyle w:val="VerbatimChar"/>
        </w:rPr>
        <w:t xml:space="preserve">85 000 km × 30 L/100km × 1,85 €/L</w:t>
      </w:r>
      <w:r>
        <w:t xml:space="preserve">) est-il utile pour un expert métier qui veut tracer le calcul, ou trop chargé ?</w:t>
      </w:r>
    </w:p>
    <w:p>
      <w:pPr>
        <w:pStyle w:val="Compact"/>
        <w:numPr>
          <w:ilvl w:val="0"/>
          <w:numId w:val="1041"/>
        </w:numPr>
      </w:pPr>
      <w:r>
        <w:t xml:space="preserve">Faut-il ajouter une ligne</w:t>
      </w:r>
      <w:r>
        <w:t xml:space="preserve"> </w:t>
      </w:r>
      <w:r>
        <w:rPr>
          <w:b/>
          <w:bCs/>
        </w:rPr>
        <w:t xml:space="preserve">« Économie annuelle »</w:t>
      </w:r>
      <w:r>
        <w:t xml:space="preserve"> </w:t>
      </w:r>
      <w:r>
        <w:t xml:space="preserve">synthétique entre maintenance et TCO total ?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5" w:name="récapitulatif-des-hypothèses-constantes"/>
    <w:p>
      <w:pPr>
        <w:pStyle w:val="Titre1"/>
      </w:pPr>
      <w:r>
        <w:t xml:space="preserve">5. Récapitulatif des hypothèses &amp; constantes</w:t>
      </w:r>
    </w:p>
    <w:bookmarkStart w:id="79" w:name="prix-dachat-ht-2026-indicatif-marché"/>
    <w:p>
      <w:pPr>
        <w:pStyle w:val="Titre2"/>
      </w:pPr>
      <w:r>
        <w:t xml:space="preserve">5.1 Prix d’achat HT (2026 indicatif marché)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Véhicule</w:t>
            </w:r>
          </w:p>
        </w:tc>
        <w:tc>
          <w:tcPr/>
          <w:p>
            <w:pPr>
              <w:pStyle w:val="Compact"/>
            </w:pPr>
            <w:r>
              <w:t xml:space="preserve">Diesel</w:t>
            </w:r>
          </w:p>
        </w:tc>
        <w:tc>
          <w:tcPr/>
          <w:p>
            <w:pPr>
              <w:pStyle w:val="Compact"/>
            </w:pPr>
            <w:r>
              <w:t xml:space="preserve">Électrique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Tracteur 40 t</w:t>
            </w:r>
          </w:p>
        </w:tc>
        <w:tc>
          <w:tcPr/>
          <w:p>
            <w:pPr>
              <w:pStyle w:val="Compact"/>
            </w:pPr>
            <w:r>
              <w:t xml:space="preserve">110 000 €</w:t>
            </w:r>
          </w:p>
        </w:tc>
        <w:tc>
          <w:tcPr/>
          <w:p>
            <w:pPr>
              <w:pStyle w:val="Compact"/>
            </w:pPr>
            <w:r>
              <w:t xml:space="preserve">285 000 €</w:t>
            </w:r>
          </w:p>
        </w:tc>
        <w:tc>
          <w:tcPr/>
          <w:p>
            <w:pPr>
              <w:pStyle w:val="Compact"/>
            </w:pPr>
            <w:r>
              <w:t xml:space="preserve">Renault T / Volvo FH / Iveco S-Way · fourchette diesel 95-130 k€ ; Renault E-Tech T / Volvo FH Electric · fourchette élec 250-340 k€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Porteur 19-26 t</w:t>
            </w:r>
          </w:p>
        </w:tc>
        <w:tc>
          <w:tcPr/>
          <w:p>
            <w:pPr>
              <w:pStyle w:val="Compact"/>
            </w:pPr>
            <w:r>
              <w:t xml:space="preserve">80 000 €</w:t>
            </w:r>
          </w:p>
        </w:tc>
        <w:tc>
          <w:tcPr/>
          <w:p>
            <w:pPr>
              <w:pStyle w:val="Compact"/>
            </w:pPr>
            <w:r>
              <w:t xml:space="preserve">195 000 €</w:t>
            </w:r>
          </w:p>
        </w:tc>
        <w:tc>
          <w:tcPr/>
          <w:p>
            <w:pPr>
              <w:pStyle w:val="Compact"/>
            </w:pPr>
            <w:r>
              <w:t xml:space="preserve">Indicatif</w:t>
            </w:r>
          </w:p>
        </w:tc>
      </w:tr>
    </w:tbl>
    <w:bookmarkEnd w:id="79"/>
    <w:bookmarkStart w:id="80" w:name="consommations-défaut"/>
    <w:p>
      <w:pPr>
        <w:pStyle w:val="Titre2"/>
      </w:pPr>
      <w:r>
        <w:t xml:space="preserve">5.2 Consommations (défaut)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Véhicule</w:t>
            </w:r>
          </w:p>
        </w:tc>
        <w:tc>
          <w:tcPr/>
          <w:p>
            <w:pPr>
              <w:pStyle w:val="Compact"/>
            </w:pPr>
            <w:r>
              <w:t xml:space="preserve">Diesel</w:t>
            </w:r>
          </w:p>
        </w:tc>
        <w:tc>
          <w:tcPr/>
          <w:p>
            <w:pPr>
              <w:pStyle w:val="Compact"/>
            </w:pPr>
            <w:r>
              <w:t xml:space="preserve">Électrique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Tracteur 40 t</w:t>
            </w:r>
          </w:p>
        </w:tc>
        <w:tc>
          <w:tcPr/>
          <w:p>
            <w:pPr>
              <w:pStyle w:val="Compact"/>
            </w:pPr>
            <w:r>
              <w:t xml:space="preserve">30 L/100 km</w:t>
            </w:r>
          </w:p>
        </w:tc>
        <w:tc>
          <w:tcPr/>
          <w:p>
            <w:pPr>
              <w:pStyle w:val="Compact"/>
            </w:pPr>
            <w:r>
              <w:t xml:space="preserve">130 kWh/100 km</w:t>
            </w:r>
          </w:p>
        </w:tc>
        <w:tc>
          <w:tcPr/>
          <w:p>
            <w:pPr>
              <w:pStyle w:val="Compact"/>
            </w:pPr>
            <w:r>
              <w:t xml:space="preserve">IRU / FCM 2024-2025 · T&amp;E 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Porteur 19-26 t</w:t>
            </w:r>
          </w:p>
        </w:tc>
        <w:tc>
          <w:tcPr/>
          <w:p>
            <w:pPr>
              <w:pStyle w:val="Compact"/>
            </w:pPr>
            <w:r>
              <w:t xml:space="preserve">25 L/100 km</w:t>
            </w:r>
          </w:p>
        </w:tc>
        <w:tc>
          <w:tcPr/>
          <w:p>
            <w:pPr>
              <w:pStyle w:val="Compact"/>
            </w:pPr>
            <w:r>
              <w:t xml:space="preserve">100 kWh/100 km</w:t>
            </w:r>
          </w:p>
        </w:tc>
        <w:tc>
          <w:tcPr/>
          <w:p>
            <w:pPr>
              <w:pStyle w:val="Compact"/>
            </w:pPr>
            <w:r>
              <w:t xml:space="preserve">Estimation</w:t>
            </w:r>
          </w:p>
        </w:tc>
      </w:tr>
    </w:tbl>
    <w:bookmarkEnd w:id="80"/>
    <w:bookmarkStart w:id="81" w:name="maintenance-annuelle"/>
    <w:p>
      <w:pPr>
        <w:pStyle w:val="Titre2"/>
      </w:pPr>
      <w:r>
        <w:t xml:space="preserve">5.3 Maintenance annuelle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Véhicule</w:t>
            </w:r>
          </w:p>
        </w:tc>
        <w:tc>
          <w:tcPr/>
          <w:p>
            <w:pPr>
              <w:pStyle w:val="Compact"/>
            </w:pPr>
            <w:r>
              <w:t xml:space="preserve">Diesel</w:t>
            </w:r>
          </w:p>
        </w:tc>
        <w:tc>
          <w:tcPr/>
          <w:p>
            <w:pPr>
              <w:pStyle w:val="Compact"/>
            </w:pPr>
            <w:r>
              <w:t xml:space="preserve">Électrique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Tracteur 40 t</w:t>
            </w:r>
          </w:p>
        </w:tc>
        <w:tc>
          <w:tcPr/>
          <w:p>
            <w:pPr>
              <w:pStyle w:val="Compact"/>
            </w:pPr>
            <w:r>
              <w:t xml:space="preserve">7 000 €/an</w:t>
            </w:r>
          </w:p>
        </w:tc>
        <w:tc>
          <w:tcPr/>
          <w:p>
            <w:pPr>
              <w:pStyle w:val="Compact"/>
            </w:pPr>
            <w:r>
              <w:t xml:space="preserve">4 000 €/an</w:t>
            </w:r>
          </w:p>
        </w:tc>
        <w:tc>
          <w:tcPr/>
          <w:p>
            <w:pPr>
              <w:pStyle w:val="Compact"/>
            </w:pPr>
            <w:r>
              <w:t xml:space="preserve">CNR (référentiel pneumatiques + entretien) · −40 % vs diesel (estimation)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Porteur 19-26 t</w:t>
            </w:r>
          </w:p>
        </w:tc>
        <w:tc>
          <w:tcPr/>
          <w:p>
            <w:pPr>
              <w:pStyle w:val="Compact"/>
            </w:pPr>
            <w:r>
              <w:t xml:space="preserve">5 000 €/an</w:t>
            </w:r>
          </w:p>
        </w:tc>
        <w:tc>
          <w:tcPr/>
          <w:p>
            <w:pPr>
              <w:pStyle w:val="Compact"/>
            </w:pPr>
            <w:r>
              <w:t xml:space="preserve">3 000 €/an</w:t>
            </w:r>
          </w:p>
        </w:tc>
        <w:tc>
          <w:tcPr/>
          <w:p>
            <w:pPr>
              <w:pStyle w:val="Compact"/>
            </w:pPr>
            <w:r>
              <w:t xml:space="preserve">Estimation</w:t>
            </w:r>
          </w:p>
        </w:tc>
      </w:tr>
    </w:tbl>
    <w:bookmarkEnd w:id="81"/>
    <w:bookmarkStart w:id="82" w:name="prix-énergie-mai-2026"/>
    <w:p>
      <w:pPr>
        <w:pStyle w:val="Titre2"/>
      </w:pPr>
      <w:r>
        <w:t xml:space="preserve">5.4 Prix énergie (mai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Énergie</w:t>
            </w:r>
          </w:p>
        </w:tc>
        <w:tc>
          <w:tcPr/>
          <w:p>
            <w:pPr>
              <w:pStyle w:val="Compact"/>
            </w:pPr>
            <w:r>
              <w:t xml:space="preserve">Prix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Gazole pro</w:t>
            </w:r>
          </w:p>
        </w:tc>
        <w:tc>
          <w:tcPr/>
          <w:p>
            <w:pPr>
              <w:pStyle w:val="Compact"/>
            </w:pPr>
            <w:r>
              <w:t xml:space="preserve">1,85 €/L</w:t>
            </w:r>
          </w:p>
        </w:tc>
        <w:tc>
          <w:tcPr/>
          <w:p>
            <w:pPr>
              <w:pStyle w:val="Compact"/>
            </w:pPr>
            <w:r>
              <w:t xml:space="preserve">TTC pro après remboursement TICPE partielle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Électricité recharge mix</w:t>
            </w:r>
          </w:p>
        </w:tc>
        <w:tc>
          <w:tcPr/>
          <w:p>
            <w:pPr>
              <w:pStyle w:val="Compact"/>
            </w:pPr>
            <w:r>
              <w:t xml:space="preserve">0,28 €/kWh</w:t>
            </w:r>
          </w:p>
        </w:tc>
        <w:tc>
          <w:tcPr/>
          <w:p>
            <w:pPr>
              <w:pStyle w:val="Compact"/>
            </w:pPr>
            <w:r>
              <w:t xml:space="preserve">Dépôt nocturne ~0,20 + hub itinérance jour ~0,40</w:t>
            </w:r>
          </w:p>
        </w:tc>
      </w:tr>
    </w:tbl>
    <w:bookmarkEnd w:id="82"/>
    <w:bookmarkStart w:id="83" w:name="aides-à-lachat-mesure-12-dp-avril-2026"/>
    <w:p>
      <w:pPr>
        <w:pStyle w:val="Titre2"/>
      </w:pPr>
      <w:r>
        <w:t xml:space="preserve">5.5 Aides à l’achat (Mesure 12, DP avril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Véhicule</w:t>
            </w:r>
          </w:p>
        </w:tc>
        <w:tc>
          <w:tcPr/>
          <w:p>
            <w:pPr>
              <w:pStyle w:val="Compact"/>
            </w:pPr>
            <w:r>
              <w:t xml:space="preserve">Aide max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Tracteur routier électrique</w:t>
            </w:r>
          </w:p>
        </w:tc>
        <w:tc>
          <w:tcPr/>
          <w:p>
            <w:pPr>
              <w:pStyle w:val="Compact"/>
            </w:pPr>
            <w:r>
              <w:t xml:space="preserve">100 000 €</w:t>
            </w:r>
          </w:p>
        </w:tc>
        <w:tc>
          <w:tcPr/>
          <w:p>
            <w:pPr>
              <w:pStyle w:val="Compact"/>
            </w:pPr>
            <w:r>
              <w:t xml:space="preserve">CEE bonifié, fabrication EU, applicable 1er juin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Porteur urbain électrique</w:t>
            </w:r>
          </w:p>
        </w:tc>
        <w:tc>
          <w:tcPr/>
          <w:p>
            <w:pPr>
              <w:pStyle w:val="Compact"/>
            </w:pPr>
            <w:r>
              <w:t xml:space="preserve">50 000 €</w:t>
            </w:r>
          </w:p>
        </w:tc>
        <w:tc>
          <w:tcPr/>
          <w:p>
            <w:pPr>
              <w:pStyle w:val="Compact"/>
            </w:pPr>
            <w:r>
              <w:t xml:space="preserve">Estimation (« quasi doublement » des aides porteur, base 25-30 k€ en 2025)</w:t>
            </w:r>
          </w:p>
        </w:tc>
      </w:tr>
    </w:tbl>
    <w:bookmarkEnd w:id="83"/>
    <w:bookmarkStart w:id="84" w:name="paramètres-techniques"/>
    <w:p>
      <w:pPr>
        <w:pStyle w:val="Titre2"/>
      </w:pPr>
      <w:r>
        <w:t xml:space="preserve">5.6 Paramètres techniques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Paramètre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Slider km/an min / max</w:t>
            </w:r>
          </w:p>
        </w:tc>
        <w:tc>
          <w:tcPr/>
          <w:p>
            <w:pPr>
              <w:pStyle w:val="Compact"/>
            </w:pPr>
            <w:r>
              <w:t xml:space="preserve">20 000 / 200 000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Slider km/an pas</w:t>
            </w:r>
          </w:p>
        </w:tc>
        <w:tc>
          <w:tcPr/>
          <w:p>
            <w:pPr>
              <w:pStyle w:val="Compact"/>
            </w:pPr>
            <w:r>
              <w:t xml:space="preserve">5 000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Slider durée min / max</w:t>
            </w:r>
          </w:p>
        </w:tc>
        <w:tc>
          <w:tcPr/>
          <w:p>
            <w:pPr>
              <w:pStyle w:val="Compact"/>
            </w:pPr>
            <w:r>
              <w:t xml:space="preserve">3 / 10 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du graphique pivot</w:t>
            </w:r>
          </w:p>
        </w:tc>
        <w:tc>
          <w:tcPr/>
          <w:p>
            <w:pPr>
              <w:pStyle w:val="Compact"/>
            </w:pPr>
            <w:r>
              <w:t xml:space="preserve">10 000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Plage tranche affichage k€</w:t>
            </w:r>
          </w:p>
        </w:tc>
        <w:tc>
          <w:tcPr/>
          <w:p>
            <w:pPr>
              <w:pStyle w:val="Compact"/>
            </w:pPr>
            <w:r>
              <w:t xml:space="preserve">≥ 1 000 €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6" w:name="sources-des-données"/>
    <w:p>
      <w:pPr>
        <w:pStyle w:val="Titre1"/>
      </w:pPr>
      <w:r>
        <w:t xml:space="preserve">6. Sources des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Source officielle</w:t>
            </w:r>
          </w:p>
        </w:tc>
        <w:tc>
          <w:tcPr/>
          <w:p>
            <w:pPr>
              <w:pStyle w:val="Compact"/>
            </w:pPr>
            <w:r>
              <w:t xml:space="preserve">Année / version</w:t>
            </w:r>
          </w:p>
        </w:tc>
        <w:tc>
          <w:tcPr/>
          <w:p>
            <w:pPr>
              <w:pStyle w:val="Compact"/>
            </w:pPr>
            <w:r>
              <w:t xml:space="preserve">Référence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Mesure 12 (aide PL électrique)</w:t>
            </w:r>
          </w:p>
        </w:tc>
        <w:tc>
          <w:tcPr/>
          <w:p>
            <w:pPr>
              <w:pStyle w:val="Compact"/>
            </w:pPr>
            <w:r>
              <w:t xml:space="preserve">Plan d’électrification — DP avril 2026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DGEC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Prix gazole professionnel</w:t>
            </w:r>
          </w:p>
        </w:tc>
        <w:tc>
          <w:tcPr/>
          <w:p>
            <w:pPr>
              <w:pStyle w:val="Compact"/>
            </w:pPr>
            <w:r>
              <w:t xml:space="preserve">CGDD (hebdomadaire)</w:t>
            </w:r>
          </w:p>
        </w:tc>
        <w:tc>
          <w:tcPr/>
          <w:p>
            <w:pPr>
              <w:pStyle w:val="Compact"/>
            </w:pPr>
            <w:r>
              <w:t xml:space="preserve">mai 2026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statistiques.developpement-durable.gouv.fr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Consommation tracteur diesel</w:t>
            </w:r>
          </w:p>
        </w:tc>
        <w:tc>
          <w:tcPr/>
          <w:p>
            <w:pPr>
              <w:pStyle w:val="Compact"/>
            </w:pPr>
            <w:r>
              <w:t xml:space="preserve">International Road Transport Union (IRU) · FCM</w:t>
            </w:r>
          </w:p>
        </w:tc>
        <w:tc>
          <w:tcPr/>
          <w:p>
            <w:pPr>
              <w:pStyle w:val="Compact"/>
            </w:pPr>
            <w:r>
              <w:t xml:space="preserve">2024-2025</w:t>
            </w:r>
          </w:p>
        </w:tc>
        <w:tc>
          <w:tcPr/>
          <w:p>
            <w:pPr>
              <w:pStyle w:val="Compact"/>
            </w:pPr>
            <w:r>
              <w:t xml:space="preserve">iru.org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Consommation tracteur électrique</w:t>
            </w:r>
          </w:p>
        </w:tc>
        <w:tc>
          <w:tcPr/>
          <w:p>
            <w:pPr>
              <w:pStyle w:val="Compact"/>
            </w:pPr>
            <w:r>
              <w:t xml:space="preserve">Transport &amp; Environment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transportenvironment.org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Référentiel coûts CNR</w:t>
            </w:r>
          </w:p>
        </w:tc>
        <w:tc>
          <w:tcPr/>
          <w:p>
            <w:pPr>
              <w:pStyle w:val="Compact"/>
            </w:pPr>
            <w:r>
              <w:t xml:space="preserve">Comité national routier</w:t>
            </w:r>
          </w:p>
        </w:tc>
        <w:tc>
          <w:tcPr/>
          <w:p>
            <w:pPr>
              <w:pStyle w:val="Compact"/>
            </w:pPr>
            <w:r>
              <w:t xml:space="preserve">continu</w:t>
            </w:r>
          </w:p>
        </w:tc>
        <w:tc>
          <w:tcPr/>
          <w:p>
            <w:pPr>
              <w:pStyle w:val="Compact"/>
            </w:pPr>
            <w:r>
              <w:t xml:space="preserve">cnr.fr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Programme ADEME E-Trans (engins)</w:t>
            </w:r>
          </w:p>
        </w:tc>
        <w:tc>
          <w:tcPr/>
          <w:p>
            <w:pPr>
              <w:pStyle w:val="Compact"/>
            </w:pPr>
            <w:r>
              <w:t xml:space="preserve">Ademe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ademe.fr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Tarif électricité B2B</w:t>
            </w:r>
          </w:p>
        </w:tc>
        <w:tc>
          <w:tcPr/>
          <w:p>
            <w:pPr>
              <w:pStyle w:val="Compact"/>
            </w:pPr>
            <w:r>
              <w:t xml:space="preserve">CRE</w:t>
            </w:r>
          </w:p>
        </w:tc>
        <w:tc>
          <w:tcPr/>
          <w:p>
            <w:pPr>
              <w:pStyle w:val="Compact"/>
            </w:pPr>
            <w:r>
              <w:t xml:space="preserve">mai 2026</w:t>
            </w:r>
          </w:p>
        </w:tc>
        <w:tc>
          <w:tcPr/>
          <w:p>
            <w:pPr>
              <w:pStyle w:val="Compact"/>
            </w:pPr>
            <w:r>
              <w:t xml:space="preserve">cre.fr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90" w:name="limites-connues"/>
    <w:p>
      <w:pPr>
        <w:pStyle w:val="Titre1"/>
      </w:pPr>
      <w:r>
        <w:t xml:space="preserve">7. Limites connues</w:t>
      </w:r>
    </w:p>
    <w:bookmarkStart w:id="87" w:name="hypothèses-simplificatrices-assumées"/>
    <w:p>
      <w:pPr>
        <w:pStyle w:val="Titre2"/>
      </w:pPr>
      <w:r>
        <w:t xml:space="preserve">7.1 Hypothèses simplificatrices assumées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Aucune valeur résiduelle</w:t>
      </w:r>
      <w:r>
        <w:t xml:space="preserve"> </w:t>
      </w:r>
      <w:r>
        <w:t xml:space="preserve">retenue (marché VE PL occasion quasi inexistant en 2026). Le diesel et l’électrique sont tous deux remis à zéro à la revente — pratique conservatrice.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TCO calculé en euros constants</w:t>
      </w:r>
      <w:r>
        <w:t xml:space="preserve"> </w:t>
      </w:r>
      <w:r>
        <w:t xml:space="preserve">(pas d’inflation ni d’indexation des prix énergie sur la durée).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CAPEX infrastructure de recharge dépôt</w:t>
      </w:r>
      <w:r>
        <w:t xml:space="preserve"> </w:t>
      </w:r>
      <w:r>
        <w:t xml:space="preserve">(transformateur, bornes HPC, 20-80 k€ selon flotte)</w:t>
      </w:r>
      <w:r>
        <w:t xml:space="preserve"> </w:t>
      </w:r>
      <w:r>
        <w:rPr>
          <w:b/>
          <w:bCs/>
        </w:rPr>
        <w:t xml:space="preserve">non inclus</w:t>
      </w:r>
      <w:r>
        <w:t xml:space="preserve"> </w:t>
      </w:r>
      <w:r>
        <w:t xml:space="preserve">— à mentionner dans l’aide.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Coût d’opportunité du capital</w:t>
      </w:r>
      <w:r>
        <w:t xml:space="preserve"> </w:t>
      </w:r>
      <w:r>
        <w:t xml:space="preserve">immobilisé (financement, leasing) non pris en compte.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Maintenance −40 % VE</w:t>
      </w:r>
      <w:r>
        <w:t xml:space="preserve"> </w:t>
      </w:r>
      <w:r>
        <w:t xml:space="preserve">: ordre de grandeur extrapolé des flottes pilotes, à confirmer.</w:t>
      </w:r>
    </w:p>
    <w:bookmarkEnd w:id="87"/>
    <w:bookmarkStart w:id="88" w:name="cas-non-traités-v1"/>
    <w:p>
      <w:pPr>
        <w:pStyle w:val="Titre2"/>
      </w:pPr>
      <w:r>
        <w:t xml:space="preserve">7.2 Cas non traités (v1)</w:t>
      </w:r>
    </w:p>
    <w:p>
      <w:pPr>
        <w:pStyle w:val="Compact"/>
        <w:numPr>
          <w:ilvl w:val="0"/>
          <w:numId w:val="1043"/>
        </w:numPr>
      </w:pPr>
      <w:r>
        <w:t xml:space="preserve">Catégorie</w:t>
      </w:r>
      <w:r>
        <w:t xml:space="preserve"> </w:t>
      </w:r>
      <w:r>
        <w:rPr>
          <w:b/>
          <w:bCs/>
        </w:rPr>
        <w:t xml:space="preserve">12 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7,5 t</w:t>
      </w:r>
      <w:r>
        <w:t xml:space="preserve"> </w:t>
      </w:r>
      <w:r>
        <w:t xml:space="preserve">(logistique urbaine, dernier km).</w:t>
      </w:r>
    </w:p>
    <w:p>
      <w:pPr>
        <w:pStyle w:val="Compact"/>
        <w:numPr>
          <w:ilvl w:val="0"/>
          <w:numId w:val="1043"/>
        </w:numPr>
      </w:pPr>
      <w:r>
        <w:t xml:space="preserve">Transport</w:t>
      </w:r>
      <w:r>
        <w:t xml:space="preserve"> </w:t>
      </w:r>
      <w:r>
        <w:rPr>
          <w:b/>
          <w:bCs/>
        </w:rPr>
        <w:t xml:space="preserve">frigorifique</w:t>
      </w:r>
      <w:r>
        <w:t xml:space="preserve"> </w:t>
      </w:r>
      <w:r>
        <w:t xml:space="preserve">(consommation électrique +30 %).</w:t>
      </w:r>
    </w:p>
    <w:p>
      <w:pPr>
        <w:pStyle w:val="Compact"/>
        <w:numPr>
          <w:ilvl w:val="0"/>
          <w:numId w:val="1043"/>
        </w:numPr>
      </w:pPr>
      <w:r>
        <w:t xml:space="preserve">Comparaison vs</w:t>
      </w:r>
      <w:r>
        <w:t xml:space="preserve"> </w:t>
      </w:r>
      <w:r>
        <w:rPr>
          <w:b/>
          <w:bCs/>
        </w:rPr>
        <w:t xml:space="preserve">BioGNV / biocarburants HVO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Conditions sévères</w:t>
      </w:r>
      <w:r>
        <w:t xml:space="preserve"> </w:t>
      </w:r>
      <w:r>
        <w:t xml:space="preserve">(relief, froid, charge max) qui dégradent l’autonomie VE de 25-35 %.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Réductions de péages PL électrique</w:t>
      </w:r>
      <w:r>
        <w:t xml:space="preserve"> </w:t>
      </w:r>
      <w:r>
        <w:t xml:space="preserve">(directive Eurovignette à venir).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Fiscalité</w:t>
      </w:r>
      <w:r>
        <w:t xml:space="preserve"> </w:t>
      </w:r>
      <w:r>
        <w:t xml:space="preserve">: TVS, taxe à l’essieu, suramortissement 39 decies A, crédit d’impôt.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Aides locales</w:t>
      </w:r>
      <w:r>
        <w:t xml:space="preserve"> </w:t>
      </w:r>
      <w:r>
        <w:t xml:space="preserve">(région, EPCI) et programmes spécifiques (Plan Air).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Formation conducteur</w:t>
      </w:r>
      <w:r>
        <w:t xml:space="preserve"> </w:t>
      </w:r>
      <w:r>
        <w:t xml:space="preserve">VE (coût ponctuel) — exclu.</w:t>
      </w:r>
    </w:p>
    <w:bookmarkEnd w:id="88"/>
    <w:bookmarkStart w:id="89" w:name="X9cc382cc3d2554beba020f5417958ec6f08c92d"/>
    <w:p>
      <w:pPr>
        <w:pStyle w:val="Titre2"/>
      </w:pPr>
      <w:r>
        <w:t xml:space="preserve">7.3 Points ouverts à arbitrer avec les experts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Pivot annoncé DGEC</w:t>
      </w:r>
      <w:r>
        <w:t xml:space="preserve"> </w:t>
      </w:r>
      <w:r>
        <w:t xml:space="preserve">(85 000 km/an) vs</w:t>
      </w:r>
      <w:r>
        <w:t xml:space="preserve"> </w:t>
      </w:r>
      <w:r>
        <w:rPr>
          <w:b/>
          <w:bCs/>
        </w:rPr>
        <w:t xml:space="preserve">pivot calculé</w:t>
      </w:r>
      <w:r>
        <w:t xml:space="preserve"> </w:t>
      </w:r>
      <w:r>
        <w:t xml:space="preserve">par le simulateur (~63 000 km/an au scénario par défaut). Quelle hypothèse cale la communication officielle 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Crédit d’impôt + suramortissement</w:t>
      </w:r>
      <w:r>
        <w:t xml:space="preserve"> </w:t>
      </w:r>
      <w:r>
        <w:t xml:space="preserve">(art. 39 decies A) : régime 2026 confirmé ?</w:t>
      </w:r>
      <w:r>
        <w:t xml:space="preserve"> </w:t>
      </w:r>
      <w:r>
        <w:rPr>
          <w:i/>
          <w:iCs/>
        </w:rPr>
        <w:t xml:space="preserve">(open dans la modale business)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TVS / taxe à l’essieu</w:t>
      </w:r>
      <w:r>
        <w:t xml:space="preserve"> </w:t>
      </w:r>
      <w:r>
        <w:t xml:space="preserve">: exemption VE confirmée jusque quand 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Accès aux bornes publiques HPC</w:t>
      </w:r>
      <w:r>
        <w:t xml:space="preserve"> </w:t>
      </w:r>
      <w:r>
        <w:t xml:space="preserve">: maillage encore très lacunaire — comment matérialiser ce risque dans l’outil 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Confidentialité</w:t>
      </w:r>
      <w:r>
        <w:t xml:space="preserve"> </w:t>
      </w:r>
      <w:r>
        <w:t xml:space="preserve">: les patrons saisiraient-ils leur kilométrage réel sans crainte de fuite concurrentielle ? Rappeler que rien n’est stocké côté serveur.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annexe-historique-des-versions"/>
    <w:p>
      <w:pPr>
        <w:pStyle w:val="Titre1"/>
      </w:pPr>
      <w:r>
        <w:t xml:space="preserve">Annexe — Historique des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Modifications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2026-05-20</w:t>
            </w:r>
          </w:p>
        </w:tc>
        <w:tc>
          <w:tcPr/>
          <w:p>
            <w:pPr>
              <w:pStyle w:val="Compact"/>
            </w:pPr>
            <w:r>
              <w:t xml:space="preserve">Bertrand Matge</w:t>
            </w:r>
          </w:p>
        </w:tc>
        <w:tc>
          <w:tcPr/>
          <w:p>
            <w:pPr>
              <w:pStyle w:val="Compact"/>
            </w:pPr>
            <w:r>
              <w:t xml:space="preserve">Création initiale (préset tracteur/porteur, KPIs, spotlight État Mesure 12, 2 graphiques TCO + pivot km)</w:t>
            </w:r>
          </w:p>
        </w:tc>
      </w:tr>
    </w:tbl>
    <w:bookmarkEnd w:id="91"/>
    <w:sectPr w:rsidR="00102DE7">
      <w:footnotePr>
        <w:numRestart w:val="eachSect"/>
      </w:footnotePr>
      <w:pgSz w:h="15840" w:w="12240"/>
      <w:pgMar w:bottom="1417" w:footer="720" w:gutter="0" w:header="720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3EA82E6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A74EE3B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00A992"/>
    <w:multiLevelType w:val="multilevel"/>
    <w:tmpl w:val="C32AD1AA"/>
    <w:lvl w:ilvl="0">
      <w:numFmt w:val="bullet"/>
      <w:lvlText w:val="☐"/>
      <w:lvlJc w:val="left"/>
      <w:pPr>
        <w:ind w:hanging="360" w:left="720"/>
      </w:pPr>
    </w:lvl>
    <w:lvl w:ilvl="1">
      <w:numFmt w:val="bullet"/>
      <w:lvlText w:val="☐"/>
      <w:lvlJc w:val="left"/>
      <w:pPr>
        <w:ind w:hanging="360" w:left="1440"/>
      </w:pPr>
    </w:lvl>
    <w:lvl w:ilvl="2">
      <w:numFmt w:val="bullet"/>
      <w:lvlText w:val="☐"/>
      <w:lvlJc w:val="left"/>
      <w:pPr>
        <w:ind w:hanging="360" w:left="2160"/>
      </w:pPr>
    </w:lvl>
    <w:lvl w:ilvl="3">
      <w:numFmt w:val="bullet"/>
      <w:lvlText w:val="☐"/>
      <w:lvlJc w:val="left"/>
      <w:pPr>
        <w:ind w:hanging="360" w:left="2880"/>
      </w:pPr>
    </w:lvl>
    <w:lvl w:ilvl="4">
      <w:numFmt w:val="bullet"/>
      <w:lvlText w:val="☐"/>
      <w:lvlJc w:val="left"/>
      <w:pPr>
        <w:ind w:hanging="360" w:left="3600"/>
      </w:pPr>
    </w:lvl>
    <w:lvl w:ilvl="5">
      <w:numFmt w:val="bullet"/>
      <w:lvlText w:val="☐"/>
      <w:lvlJc w:val="left"/>
      <w:pPr>
        <w:ind w:hanging="360" w:left="4320"/>
      </w:pPr>
    </w:lvl>
    <w:lvl w:ilvl="6">
      <w:numFmt w:val="bullet"/>
      <w:lvlText w:val="☐"/>
      <w:lvlJc w:val="left"/>
      <w:pPr>
        <w:ind w:hanging="360" w:left="5040"/>
      </w:pPr>
    </w:lvl>
    <w:lvl w:ilvl="7">
      <w:numFmt w:val="bullet"/>
      <w:lvlText w:val="☐"/>
      <w:lvlJc w:val="left"/>
      <w:pPr>
        <w:ind w:hanging="360" w:left="5760"/>
      </w:pPr>
    </w:lvl>
    <w:lvl w:ilvl="8">
      <w:numFmt w:val="bullet"/>
      <w:lvlText w:val="☐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918438662" w:numId="1">
    <w:abstractNumId w:val="0"/>
  </w:num>
  <w:num w16cid:durableId="849637363" w:numId="2">
    <w:abstractNumId w:val="1"/>
  </w:num>
  <w:num w16cid:durableId="2084911129" w:numId="3">
    <w:abstractNumId w:val="1"/>
  </w:num>
  <w:num w16cid:durableId="826941755" w:numId="4">
    <w:abstractNumId w:val="2"/>
  </w:num>
  <w:num w16cid:durableId="1726830134" w:numId="5">
    <w:abstractNumId w:val="2"/>
  </w:num>
  <w:num w16cid:durableId="645741671" w:numId="6">
    <w:abstractNumId w:val="2"/>
  </w:num>
  <w:num w16cid:durableId="1416247845" w:numId="7">
    <w:abstractNumId w:val="2"/>
  </w:num>
  <w:num w16cid:durableId="515075913" w:numId="8">
    <w:abstractNumId w:val="2"/>
  </w:num>
  <w:num w16cid:durableId="2017730726" w:numId="9">
    <w:abstractNumId w:val="2"/>
  </w:num>
  <w:num w16cid:durableId="1204974846" w:numId="10">
    <w:abstractNumId w:val="2"/>
  </w:num>
  <w:num w16cid:durableId="608128858" w:numId="11">
    <w:abstractNumId w:val="2"/>
  </w:num>
  <w:num w16cid:durableId="1657342594" w:numId="12">
    <w:abstractNumId w:val="2"/>
  </w:num>
  <w:num w16cid:durableId="600450208" w:numId="13">
    <w:abstractNumId w:val="2"/>
  </w:num>
  <w:num w16cid:durableId="1082416143" w:numId="14">
    <w:abstractNumId w:val="2"/>
  </w:num>
  <w:num w16cid:durableId="1158502540" w:numId="15">
    <w:abstractNumId w:val="1"/>
  </w:num>
  <w:num w16cid:durableId="411660647" w:numId="16">
    <w:abstractNumId w:val="1"/>
  </w:num>
  <w:num w16cid:durableId="489832747" w:numId="17">
    <w:abstractNumId w:val="2"/>
  </w:num>
  <w:num w16cid:durableId="1624967044" w:numId="18">
    <w:abstractNumId w:val="2"/>
  </w:num>
  <w:num w16cid:durableId="654995558" w:numId="19">
    <w:abstractNumId w:val="2"/>
  </w:num>
  <w:num w16cid:durableId="1856264098" w:numId="20">
    <w:abstractNumId w:val="2"/>
  </w:num>
  <w:num w16cid:durableId="583682011" w:numId="21">
    <w:abstractNumId w:val="2"/>
  </w:num>
  <w:num w16cid:durableId="1084762238" w:numId="22">
    <w:abstractNumId w:val="2"/>
  </w:num>
  <w:num w16cid:durableId="1205825833" w:numId="23">
    <w:abstractNumId w:val="2"/>
  </w:num>
  <w:num w16cid:durableId="562523016" w:numId="24">
    <w:abstractNumId w:val="2"/>
  </w:num>
  <w:num w16cid:durableId="1751929158" w:numId="25">
    <w:abstractNumId w:val="2"/>
  </w:num>
  <w:num w16cid:durableId="1316256266" w:numId="26">
    <w:abstractNumId w:val="2"/>
  </w:num>
  <w:num w16cid:durableId="1869947400" w:numId="27">
    <w:abstractNumId w:val="2"/>
  </w:num>
  <w:num w16cid:durableId="54857817" w:numId="28">
    <w:abstractNumId w:val="2"/>
  </w:num>
  <w:num w16cid:durableId="680663701" w:numId="29">
    <w:abstractNumId w:val="1"/>
  </w:num>
  <w:num w16cid:durableId="1756591367" w:numId="30">
    <w:abstractNumId w:val="2"/>
  </w:num>
  <w:num w16cid:durableId="2071146577" w:numId="31">
    <w:abstractNumId w:val="1"/>
  </w:num>
  <w:num w16cid:durableId="1065373622" w:numId="32">
    <w:abstractNumId w:val="2"/>
  </w:num>
  <w:num w16cid:durableId="1261336846" w:numId="33">
    <w:abstractNumId w:val="2"/>
  </w:num>
  <w:num w16cid:durableId="1502890631" w:numId="34">
    <w:abstractNumId w:val="2"/>
  </w:num>
  <w:num w16cid:durableId="702554870" w:numId="35">
    <w:abstractNumId w:val="2"/>
  </w:num>
  <w:num w16cid:durableId="1727680481" w:numId="36">
    <w:abstractNumId w:val="1"/>
  </w:num>
  <w:num w16cid:durableId="724377671" w:numId="37">
    <w:abstractNumId w:val="2"/>
  </w:num>
  <w:num w16cid:durableId="1265773474" w:numId="38">
    <w:abstractNumId w:val="2"/>
  </w:num>
  <w:num w16cid:durableId="1152648036" w:numId="39">
    <w:abstractNumId w:val="2"/>
  </w:num>
  <w:num w16cid:durableId="368534243" w:numId="40">
    <w:abstractNumId w:val="2"/>
  </w:num>
  <w:num w16cid:durableId="196359595" w:numId="41">
    <w:abstractNumId w:val="2"/>
  </w:num>
  <w:num w16cid:durableId="238562381" w:numId="42">
    <w:abstractNumId w:val="2"/>
  </w:num>
  <w:num w16cid:durableId="1852716841" w:numId="43">
    <w:abstractNumId w:val="2"/>
  </w:num>
  <w:num w16cid:durableId="1509321079" w:numId="44">
    <w:abstractNumId w:val="2"/>
  </w:num>
  <w:num w16cid:durableId="384573149" w:numId="45">
    <w:abstractNumId w:val="1"/>
  </w:num>
  <w:num w16cid:durableId="707069682" w:numId="46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1"/>
  </w:num>
  <w:num w:numId="1036">
    <w:abstractNumId w:val="991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E1"/>
    <w:rsid w:val="00102DE7"/>
    <w:rsid w:val="00310F6A"/>
    <w:rsid w:val="009F56E1"/>
    <w:rsid w:val="00C86FD2"/>
    <w:rsid w:val="00DC72E1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ous-titre" w:type="paragraph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styleId="Date" w:type="paragraph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customStyle="1" w:styleId="Titre1Car" w:type="character">
    <w:name w:val="Titre 1 Car"/>
    <w:basedOn w:val="Policepardfaut"/>
    <w:link w:val="Titre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Notedebasdepage"/>
    <w:next w:val="Notedebasdepag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uiPriority w:val="99"/>
    <w:rPr>
      <w:color w:themeColor="accent1" w:val="156082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TM1" w:type="paragraph">
    <w:name w:val="toc 1"/>
    <w:basedOn w:val="Normal"/>
    <w:next w:val="Normal"/>
    <w:autoRedefine/>
    <w:uiPriority w:val="39"/>
    <w:rsid w:val="00310F6A"/>
    <w:pPr>
      <w:spacing w:after="100"/>
    </w:pPr>
  </w:style>
  <w:style w:styleId="TM2" w:type="paragraph">
    <w:name w:val="toc 2"/>
    <w:basedOn w:val="Normal"/>
    <w:next w:val="Normal"/>
    <w:autoRedefine/>
    <w:uiPriority w:val="39"/>
    <w:rsid w:val="00310F6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0" Target="numbering.xml" /><Relationship Type="http://schemas.openxmlformats.org/officeDocument/2006/relationships/styles" Id="rId29" Target="styles.xml" /><Relationship Type="http://schemas.openxmlformats.org/officeDocument/2006/relationships/settings" Id="rId28" Target="settings.xml" /><Relationship Type="http://schemas.openxmlformats.org/officeDocument/2006/relationships/webSettings" Id="rId27" Target="webSettings.xml" /><Relationship Type="http://schemas.openxmlformats.org/officeDocument/2006/relationships/fontTable" Id="rId26" Target="fontTable.xml" /><Relationship Type="http://schemas.openxmlformats.org/officeDocument/2006/relationships/theme" Id="rId25" Target="theme/theme1.xml" /><Relationship Type="http://schemas.openxmlformats.org/officeDocument/2006/relationships/footnotes" Id="rId24" Target="footnotes.xml" /><Relationship Type="http://schemas.openxmlformats.org/officeDocument/2006/relationships/comments" Id="rId23" Target="comments.xml" /><Relationship Id="rId8" Target="media/image4.png" Type="http://schemas.openxmlformats.org/officeDocument/2006/relationships/image" /><Relationship Id="rId13" Target="media/image9.png" Type="http://schemas.openxmlformats.org/officeDocument/2006/relationships/image" /><Relationship Id="rId18" Target="media/image14.png" Type="http://schemas.openxmlformats.org/officeDocument/2006/relationships/image" /><Relationship Id="rId21" Target="media/image17.png" Type="http://schemas.openxmlformats.org/officeDocument/2006/relationships/image" /><Relationship Id="rId7" Target="media/image3.png" Type="http://schemas.openxmlformats.org/officeDocument/2006/relationships/image" /><Relationship Id="rId12" Target="media/image8.png" Type="http://schemas.openxmlformats.org/officeDocument/2006/relationships/image" /><Relationship Id="rId17" Target="media/image13.png" Type="http://schemas.openxmlformats.org/officeDocument/2006/relationships/image" /><Relationship Id="rId16" Target="media/image12.png" Type="http://schemas.openxmlformats.org/officeDocument/2006/relationships/image" /><Relationship Id="rId20" Target="media/image16.png" Type="http://schemas.openxmlformats.org/officeDocument/2006/relationships/image" /><Relationship Id="rId6" Target="media/image2.png" Type="http://schemas.openxmlformats.org/officeDocument/2006/relationships/image" /><Relationship Id="rId11" Target="media/image7.png" Type="http://schemas.openxmlformats.org/officeDocument/2006/relationships/image" /><Relationship Id="rId5" Target="media/image1.png" Type="http://schemas.openxmlformats.org/officeDocument/2006/relationships/image" /><Relationship Id="rId15" Target="media/image11.png" Type="http://schemas.openxmlformats.org/officeDocument/2006/relationships/image" /><Relationship Id="rId10" Target="media/image6.png" Type="http://schemas.openxmlformats.org/officeDocument/2006/relationships/image" /><Relationship Id="rId19" Target="media/image15.png" Type="http://schemas.openxmlformats.org/officeDocument/2006/relationships/image" /><Relationship Id="rId9" Target="media/image5.png" Type="http://schemas.openxmlformats.org/officeDocument/2006/relationships/image" /><Relationship Id="rId14" Target="media/image10.png" Type="http://schemas.openxmlformats.org/officeDocument/2006/relationships/image" /><Relationship Id="rId22" Target="media/image18.png" Type="http://schemas.openxmlformats.org/officeDocument/2006/relationships/image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58" Target="media/rId58.png" /><Relationship Type="http://schemas.openxmlformats.org/officeDocument/2006/relationships/image" Id="rId33" Target="media/rId33.png" /><Relationship Type="http://schemas.openxmlformats.org/officeDocument/2006/relationships/image" Id="rId43" Target="media/rId43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3279</Words>
  <Characters>18040</Characters>
  <Application>Microsoft Office Word</Application>
  <DocSecurity>0</DocSecurity>
  <Lines>150</Lines>
  <Paragraphs>42</Paragraphs>
  <ScaleCrop>false</ScaleCrop>
  <Company/>
  <LinksUpToDate>false</LinksUpToDate>
  <CharactersWithSpaces>21277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Simulateur Poids lourd électrique vs diesel — Spécification métier</dc:title>
  <dc:creator/>
  <cp:keywords/>
  <dcterms:created xsi:type="dcterms:W3CDTF">2026-05-20T16:18:22Z</dcterms:created>
  <dcterms:modified xsi:type="dcterms:W3CDTF">2026-05-20T16:18:22Z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eur">
    <vt:lpwstr>Bertrand Matge</vt:lpwstr>
  </property>
  <property fmtid="{D5CDD505-2E9C-101B-9397-08002B2CF9AE}" pid="3" name="date">
    <vt:lpwstr>2026-05-20</vt:lpwstr>
  </property>
  <property fmtid="{D5CDD505-2E9C-101B-9397-08002B2CF9AE}" pid="4" name="destinataires">
    <vt:lpwstr>DGEC mobilité (service fret), DGITM, CNR, Avere-France PL</vt:lpwstr>
  </property>
  <property fmtid="{D5CDD505-2E9C-101B-9397-08002B2CF9AE}" pid="5" name="simulateur">
    <vt:lpwstr>poids-lourds</vt:lpwstr>
  </property>
  <property fmtid="{D5CDD505-2E9C-101B-9397-08002B2CF9AE}" pid="6" name="statut">
    <vt:lpwstr>brouillon — à valider</vt:lpwstr>
  </property>
  <property fmtid="{D5CDD505-2E9C-101B-9397-08002B2CF9AE}" pid="7" name="version">
    <vt:lpwstr>0.1</vt:lpwstr>
  </property>
</Properties>
</file>