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GlocalIB for Low-Resource Legal NLP:</w:t>
        <w:br/>
        <w:t>IB-Regularized Pre-training with Learnable Compression</w:t>
        <w:br/>
        <w:t>for Few-Shot Document Classification</w:t>
      </w:r>
    </w:p>
    <w:p/>
    <w:p>
      <w:pPr>
        <w:jc w:val="center"/>
      </w:pPr>
      <w:r>
        <w:rPr>
          <w:sz w:val="24"/>
        </w:rPr>
        <w:t>MSc Computing for Data Science</w:t>
        <w:br/>
        <w:t>Free University of Bozen-Bolzano</w:t>
        <w:br/>
        <w:t>April 2026</w:t>
      </w:r>
    </w:p>
    <w:p>
      <w:r>
        <w:br w:type="page"/>
      </w:r>
    </w:p>
    <w:p>
      <w:pPr>
        <w:pStyle w:val="Heading1"/>
      </w:pPr>
      <w:r>
        <w:rPr>
          <w:color w:val="1F497D"/>
        </w:rPr>
        <w:t>1. Introduction and Motivation</w:t>
      </w:r>
    </w:p>
    <w:p>
      <w:r>
        <w:t>Supervised learning with pre-trained language models has transformed natural language processing over the last decade. Yet one of its most persistent failure modes remains largely unsolved: what happens when labeled data is scarce? In high-stakes domains — legal, clinical, administrative — annotations require domain expertise, take weeks to produce, and cost thousands of euros per thousand examples. Fine-tuning a 110-million parameter model on ten or fifty labeled documents reliably produces brittle classifiers that memorize surface patterns rather than learning the underlying concepts.</w:t>
      </w:r>
    </w:p>
    <w:p>
      <w:r>
        <w:t>This project addresses that failure mode through a different kind of pre-training. Instead of asking a language model to predict masked tokens (MLM), we ask it to reconstruct the global meaning of a document from an incomplete view of it — with an explicit information-theoretic constraint that forces it to throw away irrelevant noise. The intuition is simple: a representation that has already learned to discard surface details — because it was trained to do so before ever seeing a label — should generalize better when only a handful of labeled examples are available.</w:t>
      </w:r>
    </w:p>
    <w:p>
      <w:r>
        <w:t>The mechanism we adapt is the Global-Local Information Bottleneck (GlocalIB), originally proposed by Yang et al. (2025) for time series imputation. GlocalIB uses a teacher-student setup: a teacher encoder reads a complete input and produces a deterministic target representation; a student encoder reads a masked version of the same input and is trained to reconstruct the teacher's representation. The student's latent space is constrained by an Information Bottleneck (IB) penalty — a KL divergence term that penalizes representations for carrying more information about the input than is strictly necessary to align with the teacher.</w:t>
      </w:r>
    </w:p>
    <w:p>
      <w:r>
        <w:t>The GlocalIB architecture maps naturally onto legal documents: the teacher reads all paragraphs of a case; the student reads the same case with 20–40% of paragraphs randomly removed; the student must reconstruct the global meaning from partial evidence. This mirrors the human legal reasoning task — a lawyer reading an incomplete brief must still infer the likely outcome from the available facts. Crucially, the IB compression penalty explicitly discourages the model from memorizing surface patterns it will not have access to at inference time.</w:t>
      </w:r>
    </w:p>
    <w:p>
      <w:r>
        <w:t>We apply this framework to the European Court of Human Rights (ECtHR) dataset, a multi-label benchmark with 10 article violation classes, severe class imbalance (Article 3 appears 4,704 times; Article 5 appears 41 times), and a naturally low-resource fine-tuning regime due to the expert knowledge required for annotation. The ECtHR dataset is particularly well-suited to our method: cases consist of pre-split factual paragraphs that can be directly masked, and the paragraph-structured format allows our chunk-and-pool encoder to handle documents of arbitrary length without requiring a long-context model.</w:t>
      </w:r>
    </w:p>
    <w:p>
      <w:r>
        <w:t>The key contribution is a systematic empirical comparison under controlled conditions: three pre-training objectives (standard MLM, GlocalIB with compression disabled, GlocalIB with learnable compression) applied to the same base model, same unlabeled data, and same downstream fine-tuning procedure — varying only the number of labeled examples (N ∈ {10, 50, 100}). This design isolates the effect of the training objective from all other confounds and tests whether IB-regularized pre-training improves few-shot macro-F1 on a realistic low-resource legal classification task.</w:t>
      </w:r>
    </w:p>
    <w:p>
      <w:pPr>
        <w:pStyle w:val="Heading1"/>
      </w:pPr>
      <w:r>
        <w:rPr>
          <w:color w:val="1F497D"/>
        </w:rPr>
        <w:t>2. Problem Statement</w:t>
      </w:r>
    </w:p>
    <w:p>
      <w:r>
        <w:t>Fine-tuning large pre-trained language models on small labeled datasets produces classifiers that overfit to idiosyncratic surface patterns in the training examples. In legal NLP, this problem is acute: the labeled pool is small by necessity, the documents are long and structurally complex, and the class distribution is severely imbalanced. We identify four specific sub-problems that motivate the design of our approach:</w:t>
      </w:r>
    </w:p>
    <w:p>
      <w:pPr>
        <w:pStyle w:val="ListBullet"/>
      </w:pPr>
      <w:r>
        <w:rPr>
          <w:b/>
        </w:rPr>
        <w:t xml:space="preserve">P1: </w:t>
      </w:r>
      <w:r>
        <w:t>Labeling cost and scarcity. Legal document annotation requires qualified legal experts who must read lengthy case records and reason about multi-label article violations. Obtaining even 100 labeled examples per class is a significant institutional undertaking. Any practical system must operate in the N = 10–100 regime.</w:t>
      </w:r>
    </w:p>
    <w:p>
      <w:pPr>
        <w:pStyle w:val="ListBullet"/>
      </w:pPr>
      <w:r>
        <w:rPr>
          <w:b/>
        </w:rPr>
        <w:t xml:space="preserve">P2: </w:t>
      </w:r>
      <w:r>
        <w:t>Surface-pattern memorization. When a language model is fine-tuned on ten examples, it will latch onto any statistical regularity in the training set — specific legal phrases, article numbers mentioned explicitly, or common n-grams in the training split — rather than learning the abstract legal concept being judged. This produces classifiers that fail catastrophically on the test set despite perfect training accuracy.</w:t>
      </w:r>
    </w:p>
    <w:p>
      <w:pPr>
        <w:pStyle w:val="ListBullet"/>
      </w:pPr>
      <w:r>
        <w:rPr>
          <w:b/>
        </w:rPr>
        <w:t xml:space="preserve">P3: </w:t>
      </w:r>
      <w:r>
        <w:t>Missing IB constraint in existing SSL methods. Contrastive methods such as SimCSE (Gao et al., 2021) and DeCLUTR (Giorgi et al., 2021) improve sentence and document representations but do not explicitly constrain the amount of information retained in the latent space. Without a compression objective, the encoder can still memorize arbitrary input features that are irrelevant to the downstream task.</w:t>
      </w:r>
    </w:p>
    <w:p>
      <w:pPr>
        <w:pStyle w:val="ListBullet"/>
      </w:pPr>
      <w:r>
        <w:rPr>
          <w:b/>
        </w:rPr>
        <w:t xml:space="preserve">P4: </w:t>
      </w:r>
      <w:r>
        <w:t>Document length and pooling. ECtHR cases average 23 paragraphs (max: 558). Standard transformer encoders are limited to 512 tokens, preventing direct encoding of full documents. Existing approaches either truncate or require specialized long-context models. A practical encoder for legal documents must handle arbitrary-length inputs with a standard encoder backbone.</w:t>
      </w:r>
    </w:p>
    <w:p>
      <w:r>
        <w:t>These four problems jointly motivate an approach that: (a) pre-trains on unlabeled legal documents to reduce dependence on labeled data, (b) applies an explicit information bottleneck to force compression of irrelevant features during pre-training, (c) uses a global-local teacher-student structure to make the compression task well-defined and non-trivial, and (d) encodes documents via a paragraph-level chunk-and-pool strategy compatible with standard 512-token encoders.</w:t>
      </w:r>
    </w:p>
    <w:p>
      <w:pPr>
        <w:pStyle w:val="Heading1"/>
      </w:pPr>
      <w:r>
        <w:rPr>
          <w:color w:val="1F497D"/>
        </w:rPr>
        <w:t>3. Research Question</w:t>
      </w:r>
    </w:p>
    <w:p>
      <w:pPr>
        <w:jc w:val="center"/>
      </w:pPr>
      <w:r>
        <w:rPr>
          <w:b/>
          <w:i/>
          <w:sz w:val="24"/>
        </w:rPr>
        <w:t>Does a GlocalIB-style information bottleneck objective with a learnable β</w:t>
        <w:br/>
        <w:t>during domain pre-training improve few-shot document classification</w:t>
        <w:br/>
        <w:t>compared to standard MLM pre-training, under identical conditions?</w:t>
      </w:r>
    </w:p>
    <w:p/>
    <w:p>
      <w:r>
        <w:t>This research question is deliberately narrow and falsifiable. 'Identical conditions' means the same base model (RoBERTa-base), the same unlabeled pre-training corpus (ECtHR training split), the same labeled fine-tuning data (same N examples sampled with the same seeds), and the same evaluation protocol (macro-F1 on the ECtHR test split). The only variable is the pre-training objective.</w:t>
      </w:r>
    </w:p>
    <w:p>
      <w:r>
        <w:t>The question separates into two sub-questions addressed by the ablation design:</w:t>
      </w:r>
    </w:p>
    <w:p>
      <w:pPr>
        <w:pStyle w:val="ListBullet"/>
      </w:pPr>
      <w:r>
        <w:rPr>
          <w:b/>
        </w:rPr>
        <w:t xml:space="preserve">RQ1: </w:t>
      </w:r>
      <w:r>
        <w:t>RQ1 (IB vs. MLM): Does GlocalIB full (with compression) outperform standard MLM pre-training? This tests whether the global-local teacher-student objective — with IB compression — produces better few-shot representations than token-level masked language modeling.</w:t>
      </w:r>
    </w:p>
    <w:p>
      <w:pPr>
        <w:pStyle w:val="ListBullet"/>
      </w:pPr>
      <w:r>
        <w:rPr>
          <w:b/>
        </w:rPr>
        <w:t xml:space="preserve">RQ2: </w:t>
      </w:r>
      <w:r>
        <w:t>RQ2 (compression is the cause): Does GlocalIB full outperform GlocalIB β=0 (same architecture, compression disabled)? This tests whether the IB penalty is doing real work, or whether the improvement is simply from the teacher-student architecture itself.</w:t>
      </w:r>
    </w:p>
    <w:p>
      <w:pPr>
        <w:pStyle w:val="Heading1"/>
      </w:pPr>
      <w:r>
        <w:rPr>
          <w:color w:val="1F497D"/>
        </w:rPr>
        <w:t>4. Hypothesis</w:t>
      </w:r>
    </w:p>
    <w:p>
      <w:r>
        <w:t>A RoBERTa encoder trained with GlocalIB on unlabeled ECtHR documents — where compression strength β is learned automatically with a lower-bound constraint (β ≥ 0.01) rather than fixed — produces more compressed and more semantically stable representations than one trained with MLM on the same data. This results in higher and more stable macro-F1 classification accuracy at low label counts (N ≤ 100) on the ECtHR test set.</w:t>
      </w:r>
    </w:p>
    <w:p>
      <w:r>
        <w:t>The hypothesis decomposes into three testable predictions:</w:t>
      </w:r>
    </w:p>
    <w:p>
      <w:pPr>
        <w:pStyle w:val="ListBullet"/>
      </w:pPr>
      <w:r>
        <w:rPr>
          <w:b/>
        </w:rPr>
        <w:t xml:space="preserve">H1: </w:t>
      </w:r>
      <w:r>
        <w:t>GlocalIB full &gt; MLM baseline in macro-F1 at N = 10. The primary prediction. At the most extreme data scarcity regime, IB-regularized representations should exhibit the largest advantage because they have discarded the most noise during pre-training.</w:t>
      </w:r>
    </w:p>
    <w:p>
      <w:pPr>
        <w:pStyle w:val="ListBullet"/>
      </w:pPr>
      <w:r>
        <w:rPr>
          <w:b/>
        </w:rPr>
        <w:t xml:space="preserve">H2: </w:t>
      </w:r>
      <w:r>
        <w:t>GlocalIB full &gt; GlocalIB β=0 in macro-F1 at N = 10. The ablation prediction. The compression term is the active ingredient: disabling it (while keeping the same teacher-student architecture) should reduce performance toward or below the MLM baseline.</w:t>
      </w:r>
    </w:p>
    <w:p>
      <w:pPr>
        <w:pStyle w:val="ListBullet"/>
      </w:pPr>
      <w:r>
        <w:rPr>
          <w:b/>
        </w:rPr>
        <w:t xml:space="preserve">H3: </w:t>
      </w:r>
      <w:r>
        <w:t>Variance reduction. GlocalIB full should exhibit lower standard deviation across seeds than the MLM baseline at N = 10. More compressed representations produce a smoother, more predictable optimization landscape for the linear classification head.</w:t>
      </w:r>
    </w:p>
    <w:p>
      <w:r>
        <w:t>Falsification criteria: If GlocalIB full does not outperform the MLM baseline at N = 10 (H1 fails), the primary hypothesis is rejected. If GlocalIB full does not outperform GlocalIB β=0 (H2 fails), the improvement — if any — is attributable to the architecture rather than the IB compression, and the claim must be weakened to 'global-local pre-training improves few-shot legal NLP' rather than 'IB compression improves few-shot legal NLP'. Both outcomes are scientifically meaningful and publishable.</w:t>
      </w:r>
    </w:p>
    <w:p>
      <w:r>
        <w:t>Beta trajectory diagnostic: If the learned β collapses to its lower bound (0.01) throughout pre-training, the IB term is not doing real work even when nominally enabled. This will be reported explicitly and treated as a failure of H2, triggering investigation of the compression loss weight or the architecture design rather than silent acceptance of a false positive.</w:t>
      </w:r>
    </w:p>
    <w:p>
      <w:pPr>
        <w:pStyle w:val="Heading1"/>
      </w:pPr>
      <w:r>
        <w:rPr>
          <w:color w:val="1F497D"/>
        </w:rPr>
        <w:t>5. Related Work</w:t>
      </w:r>
    </w:p>
    <w:p>
      <w:r>
        <w:t>Our work sits at the intersection of four research threads: Information Bottleneck theory and its variational extensions, self-supervised representation learning for NLP, few-shot and low-resource text classification, and legal NLP benchmarks. We review each in turn and situate our specific contributions within them.</w:t>
      </w:r>
    </w:p>
    <w:p>
      <w:pPr>
        <w:pStyle w:val="Heading2"/>
      </w:pPr>
      <w:r>
        <w:rPr>
          <w:color w:val="2E74B5"/>
        </w:rPr>
        <w:t>5.1 Information Bottleneck Theory</w:t>
      </w:r>
    </w:p>
    <w:p>
      <w:r>
        <w:t>The Information Bottleneck (IB) principle was introduced by Tishby, Pereira, and Bialek (1999) as a formal framework for lossy compression. Given a source variable X and a relevance variable Y, the IB objective finds a compressed representation T that minimizes the mutual information I(X; T) — discarding as much of X as possible — while maximizing I(T; Y) — retaining everything predictive of Y. The trade-off is governed by a Lagrange multiplier β: the higher β, the stronger the compression. This yields a family of representations along the 'information curve' from fully compressed to fully informative.</w:t>
      </w:r>
    </w:p>
    <w:p>
      <w:r>
        <w:t>Applying the IB principle to deep neural networks required making the mutual information terms tractable. Alemi et al. (2017) introduced the Deep Variational Information Bottleneck (Deep VIB), which replaces the intractable I(X; T) with a KL divergence between the learned posterior q(T|X) and a fixed prior p(T) = N(0, I). The encoder is a probabilistic function mapping inputs to Gaussian distributions (mu, sigma); samples drawn via the reparameterization trick enable end-to-end backpropagation through the stochastic bottleneck. Alemi et al. showed that VIB representations exhibit improved robustness to adversarial perturbations and better out-of-distribution generalization compared to deterministic encoders — precisely the properties we seek for few-shot classification.</w:t>
      </w:r>
    </w:p>
    <w:p>
      <w:r>
        <w:t>Our student branch is a direct instantiation of the Deep VIB encoder: the CLS pooled document vector is projected to (mu, sigma) via two linear heads; the compression loss KL(N(mu, σ²) ∥ N(0,1)) is algebraically identical to the VIB penalty; and the reparameterization trick enables gradient flow through the sampling step. The key extension beyond VIB is (1) replacing the label-supervised I(T; Y) term with a self-supervised global alignment objective, and (2) making β a learnable parameter rather than a pre-set hyperparameter.</w:t>
      </w:r>
    </w:p>
    <w:p>
      <w:r>
        <w:t>The connection between the IB principle and self-supervised learning was formalized by Wang et al. (2022), who proved that standard contrastive learning objectives converge to the minimal sufficient representation of the augmentation distribution — i.e., they retain only the information shared between augmented views, which may not coincide with task-relevant information. Adding an explicit compression penalty (the KL term in our framework) addresses this limitation by forcing the representation to be maximally compact while still predictive of the teacher's global view.</w:t>
      </w:r>
    </w:p>
    <w:p>
      <w:pPr>
        <w:pStyle w:val="Heading2"/>
      </w:pPr>
      <w:r>
        <w:rPr>
          <w:color w:val="2E74B5"/>
        </w:rPr>
        <w:t>5.2 Self-Supervised Representation Learning for NLP</w:t>
      </w:r>
    </w:p>
    <w:p>
      <w:r>
        <w:t>Self-supervised pre-training for NLP has been dominated by masked language modeling (Devlin et al., 2019; Liu et al., 2019), which trains encoders to predict masked tokens from context. Liu et al. (2019) demonstrated that RoBERTa — obtained by training BERT longer on more data with larger batches and without the next-sentence prediction objective — substantially outperforms the original BERT on downstream tasks. RoBERTa-base (125M parameters, 768-dimensional hidden states) is the backbone for both our teacher and student branches.</w:t>
      </w:r>
    </w:p>
    <w:p>
      <w:r>
        <w:t>Contrastive learning methods offer an alternative to MLM for representation learning. SimCSE (Gao et al., 2021) demonstrated that using the same sentence twice as a positive pair with different dropout masks — and in-batch negatives — substantially advances sentence embedding quality, while providing a theoretical connection to alignment and uniformity of the embedding space. DeCLUTR (Giorgi et al., 2021) extended this paradigm to long documents: positive pairs are formed from spans sampled within the same document, establishing that intra-document structural relationships can serve as self-supervised signal without labels. Both SimCSE and DeCLUTR are key baselines for our method: they demonstrate that view-based contrastive objectives improve representations, but neither applies an explicit IB compression constraint.</w:t>
      </w:r>
    </w:p>
    <w:p>
      <w:r>
        <w:t>The teacher-student architecture of our model is inspired by BYOL (Grill et al., 2020) and SimSiam (Chen &amp; He, 2021). BYOL demonstrated that a two-network setup — an online network trained to predict an exponential-moving-average target network — learns powerful visual representations without negative pairs. SimSiam simplified this to a stop-gradient operation on the target branch, providing theoretical analysis showing that the predictor-plus-stop-gradient mechanism creates an implicit EM algorithm that prevents representational collapse. Our teacher branch directly applies this insight: torch.no_grad() enforces stop-gradient, preventing the trivial solution where both branches collapse to constant representations. Without stop-gradient, any alignment objective degenerates — the teacher would adapt to the student and both would converge to a degenerate fixed point.</w:t>
      </w:r>
    </w:p>
    <w:p>
      <w:r>
        <w:t>GlocalIB (Yang et al., 2025) is the direct methodological ancestor of our work. Published at NeurIPS 2025, it proposed a model-agnostic training wrapper for time series imputation combining a local reconstruction loss with a global alignment term: a teacher branch encodes the fully-observed time series; a student branch encodes the same series with values masked; the student is trained to align its representation with the teacher's via a tractable mutual information approximation. Yang et al. validated GlocalIB on nine imputation benchmarks, demonstrating consistent improvements over state-of-the-art imputation methods. We transfer this paradigm from continuous temporal data to discrete paragraph sequences, replacing the recurrent/graph encoder with RoBERTa-base and the temporal masking with paragraph dropping.</w:t>
      </w:r>
    </w:p>
    <w:p>
      <w:pPr>
        <w:pStyle w:val="Heading2"/>
      </w:pPr>
      <w:r>
        <w:rPr>
          <w:color w:val="2E74B5"/>
        </w:rPr>
        <w:t>5.3 Few-Shot and Low-Resource Text Classification</w:t>
      </w:r>
    </w:p>
    <w:p>
      <w:r>
        <w:t>Few-shot text classification has been studied extensively in the meta-learning literature. Snell et al. (2017) showed that prototypical networks — which classify by computing distances to class prototype embeddings in a learned metric space — outperform more complex meta-learning approaches for N-way K-shot classification, and that representation quality is the dominant factor in few-shot generalization. This finding motivates our pre-training-centric experimental design: if we improve the encoder's representations, any downstream classification mechanism — including a simple linear probe — should benefit.</w:t>
      </w:r>
    </w:p>
    <w:p>
      <w:r>
        <w:t>For NLP specifically, Deng et al. (2020) proposed a meta-pretraining approach that trains a BERT model on a large unlabeled corpus before meta-learning on few-shot classification episodes. Their central finding — that unsupervised meta-pretraining quality determines few-shot downstream performance — is precisely the hypothesis we test in the legal domain: three pre-training objectives (MLM, GlocalIB β=0, GlocalIB full) produce three encoders whose quality difference is reflected in macro-F1 at N ∈ {10, 50, 100}.</w:t>
      </w:r>
    </w:p>
    <w:p>
      <w:r>
        <w:t>In the legal domain specifically, Sarkar et al. (2021) investigated few-shot and zero-shot approaches to legal text classification in the financial sector, documenting the prohibitive annotation cost that makes the few-shot regime the realistic operational setting for legal NLP systems. Their work is the closest applied prior work to ours; we extend it to the ECtHR multi-label scenario with a principled self-supervised pre-training approach rather than a meta-learning inference approach. Chalkidis et al. (2020) pre-trained LEGAL-BERT on 12GB of legal text, showing that domain-adaptive pre-training consistently improves ECtHR violation prediction — the same hypothesis our mlm baseline condition tests, with GlocalIB providing a stronger inductive bias on top of domain adaptation.</w:t>
      </w:r>
    </w:p>
    <w:p>
      <w:pPr>
        <w:pStyle w:val="Heading2"/>
      </w:pPr>
      <w:r>
        <w:rPr>
          <w:color w:val="2E74B5"/>
        </w:rPr>
        <w:t>5.4 Legal NLP Benchmarks</w:t>
      </w:r>
    </w:p>
    <w:p>
      <w:r>
        <w:t>The ECtHR dataset was introduced by Chalkidis et al. (2019), who provided the first large-scale English-language corpus of European Court of Human Rights cases with multi-label article violation annotations. Each case is represented as a sequence of factual paragraphs (the 'facts' section of the judgment), and labels are the ECHR articles that were found to be violated. The paragraph-structured format directly motivates our chunk-and-pool encoder design, and the severe class imbalance (Article 3: 4,704 training cases; Article 5: 41 training cases) mandates macro-F1 as the primary evaluation metric.</w:t>
      </w:r>
    </w:p>
    <w:p>
      <w:r>
        <w:t>LexGLUE (Chalkidis et al., 2022) formalized ECtHR article prediction as one of seven legal NLU benchmark tasks, providing standardized train/validation/test splits, evaluation protocols, and baselines ranging from BiLSTM to LEGAL-BERT. The `ecthr_a` task within LexGLUE is our downstream evaluation task, accessed via HuggingFace Datasets. Reporting macro-F1 on the same test split makes our results directly comparable to all LexGLUE baselines, situating our pre-training contribution within the established legal NLP benchmark ecosystem.</w:t>
      </w:r>
    </w:p>
    <w:p>
      <w:pPr>
        <w:pStyle w:val="Heading2"/>
      </w:pPr>
      <w:r>
        <w:rPr>
          <w:color w:val="2E74B5"/>
        </w:rPr>
        <w:t>5.5 Positioning This Work</w:t>
      </w:r>
    </w:p>
    <w:p>
      <w:r>
        <w:t>The table below maps existing methods to the four problems identified in Section 2:</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Method</w:t>
            </w:r>
          </w:p>
        </w:tc>
        <w:tc>
          <w:tcPr>
            <w:tcW w:type="dxa" w:w="1824"/>
          </w:tcPr>
          <w:p>
            <w:r>
              <w:rPr>
                <w:b/>
              </w:rPr>
              <w:t>SSL on legal text</w:t>
            </w:r>
          </w:p>
        </w:tc>
        <w:tc>
          <w:tcPr>
            <w:tcW w:type="dxa" w:w="1824"/>
          </w:tcPr>
          <w:p>
            <w:r>
              <w:rPr>
                <w:b/>
              </w:rPr>
              <w:t>IB compression</w:t>
            </w:r>
          </w:p>
        </w:tc>
        <w:tc>
          <w:tcPr>
            <w:tcW w:type="dxa" w:w="1824"/>
          </w:tcPr>
          <w:p>
            <w:r>
              <w:rPr>
                <w:b/>
              </w:rPr>
              <w:t>Long-doc encoding</w:t>
            </w:r>
          </w:p>
        </w:tc>
        <w:tc>
          <w:tcPr>
            <w:tcW w:type="dxa" w:w="1824"/>
          </w:tcPr>
          <w:p>
            <w:r>
              <w:rPr>
                <w:b/>
              </w:rPr>
              <w:t>Few-shot focus</w:t>
            </w:r>
          </w:p>
        </w:tc>
      </w:tr>
      <w:tr>
        <w:tc>
          <w:tcPr>
            <w:tcW w:type="dxa" w:w="1824"/>
          </w:tcPr>
          <w:p>
            <w:r>
              <w:t>MLM / RoBERTa</w:t>
            </w:r>
          </w:p>
        </w:tc>
        <w:tc>
          <w:tcPr>
            <w:tcW w:type="dxa" w:w="1824"/>
          </w:tcPr>
          <w:p>
            <w:r>
              <w:t>✓</w:t>
            </w:r>
          </w:p>
        </w:tc>
        <w:tc>
          <w:tcPr>
            <w:tcW w:type="dxa" w:w="1824"/>
          </w:tcPr>
          <w:p>
            <w:r>
              <w:t>✗</w:t>
            </w:r>
          </w:p>
        </w:tc>
        <w:tc>
          <w:tcPr>
            <w:tcW w:type="dxa" w:w="1824"/>
          </w:tcPr>
          <w:p>
            <w:r>
              <w:t>✗ (512-token limit)</w:t>
            </w:r>
          </w:p>
        </w:tc>
        <w:tc>
          <w:tcPr>
            <w:tcW w:type="dxa" w:w="1824"/>
          </w:tcPr>
          <w:p>
            <w:r>
              <w:t>✗</w:t>
            </w:r>
          </w:p>
        </w:tc>
      </w:tr>
      <w:tr>
        <w:tc>
          <w:tcPr>
            <w:tcW w:type="dxa" w:w="1824"/>
          </w:tcPr>
          <w:p>
            <w:r>
              <w:t>SimCSE</w:t>
            </w:r>
          </w:p>
        </w:tc>
        <w:tc>
          <w:tcPr>
            <w:tcW w:type="dxa" w:w="1824"/>
          </w:tcPr>
          <w:p>
            <w:r>
              <w:t>✗</w:t>
            </w:r>
          </w:p>
        </w:tc>
        <w:tc>
          <w:tcPr>
            <w:tcW w:type="dxa" w:w="1824"/>
          </w:tcPr>
          <w:p>
            <w:r>
              <w:t>✗</w:t>
            </w:r>
          </w:p>
        </w:tc>
        <w:tc>
          <w:tcPr>
            <w:tcW w:type="dxa" w:w="1824"/>
          </w:tcPr>
          <w:p>
            <w:r>
              <w:t>✗ (sentence-level)</w:t>
            </w:r>
          </w:p>
        </w:tc>
        <w:tc>
          <w:tcPr>
            <w:tcW w:type="dxa" w:w="1824"/>
          </w:tcPr>
          <w:p>
            <w:r>
              <w:t>✗</w:t>
            </w:r>
          </w:p>
        </w:tc>
      </w:tr>
      <w:tr>
        <w:tc>
          <w:tcPr>
            <w:tcW w:type="dxa" w:w="1824"/>
          </w:tcPr>
          <w:p>
            <w:r>
              <w:t>DeCLUTR</w:t>
            </w:r>
          </w:p>
        </w:tc>
        <w:tc>
          <w:tcPr>
            <w:tcW w:type="dxa" w:w="1824"/>
          </w:tcPr>
          <w:p>
            <w:r>
              <w:t>✗</w:t>
            </w:r>
          </w:p>
        </w:tc>
        <w:tc>
          <w:tcPr>
            <w:tcW w:type="dxa" w:w="1824"/>
          </w:tcPr>
          <w:p>
            <w:r>
              <w:t>✗</w:t>
            </w:r>
          </w:p>
        </w:tc>
        <w:tc>
          <w:tcPr>
            <w:tcW w:type="dxa" w:w="1824"/>
          </w:tcPr>
          <w:p>
            <w:r>
              <w:t>✓ (span-level)</w:t>
            </w:r>
          </w:p>
        </w:tc>
        <w:tc>
          <w:tcPr>
            <w:tcW w:type="dxa" w:w="1824"/>
          </w:tcPr>
          <w:p>
            <w:r>
              <w:t>✗</w:t>
            </w:r>
          </w:p>
        </w:tc>
      </w:tr>
      <w:tr>
        <w:tc>
          <w:tcPr>
            <w:tcW w:type="dxa" w:w="1824"/>
          </w:tcPr>
          <w:p>
            <w:r>
              <w:t>LEGAL-BERT</w:t>
            </w:r>
          </w:p>
        </w:tc>
        <w:tc>
          <w:tcPr>
            <w:tcW w:type="dxa" w:w="1824"/>
          </w:tcPr>
          <w:p>
            <w:r>
              <w:t>✓</w:t>
            </w:r>
          </w:p>
        </w:tc>
        <w:tc>
          <w:tcPr>
            <w:tcW w:type="dxa" w:w="1824"/>
          </w:tcPr>
          <w:p>
            <w:r>
              <w:t>✗</w:t>
            </w:r>
          </w:p>
        </w:tc>
        <w:tc>
          <w:tcPr>
            <w:tcW w:type="dxa" w:w="1824"/>
          </w:tcPr>
          <w:p>
            <w:r>
              <w:t>✗ (512-token limit)</w:t>
            </w:r>
          </w:p>
        </w:tc>
        <w:tc>
          <w:tcPr>
            <w:tcW w:type="dxa" w:w="1824"/>
          </w:tcPr>
          <w:p>
            <w:r>
              <w:t>✗</w:t>
            </w:r>
          </w:p>
        </w:tc>
      </w:tr>
      <w:tr>
        <w:tc>
          <w:tcPr>
            <w:tcW w:type="dxa" w:w="1824"/>
          </w:tcPr>
          <w:p>
            <w:r>
              <w:t>Deep VIB</w:t>
            </w:r>
          </w:p>
        </w:tc>
        <w:tc>
          <w:tcPr>
            <w:tcW w:type="dxa" w:w="1824"/>
          </w:tcPr>
          <w:p>
            <w:r>
              <w:t>✗</w:t>
            </w:r>
          </w:p>
        </w:tc>
        <w:tc>
          <w:tcPr>
            <w:tcW w:type="dxa" w:w="1824"/>
          </w:tcPr>
          <w:p>
            <w:r>
              <w:t>✓</w:t>
            </w:r>
          </w:p>
        </w:tc>
        <w:tc>
          <w:tcPr>
            <w:tcW w:type="dxa" w:w="1824"/>
          </w:tcPr>
          <w:p>
            <w:r>
              <w:t>✗</w:t>
            </w:r>
          </w:p>
        </w:tc>
        <w:tc>
          <w:tcPr>
            <w:tcW w:type="dxa" w:w="1824"/>
          </w:tcPr>
          <w:p>
            <w:r>
              <w:t>✗</w:t>
            </w:r>
          </w:p>
        </w:tc>
      </w:tr>
      <w:tr>
        <w:tc>
          <w:tcPr>
            <w:tcW w:type="dxa" w:w="1824"/>
          </w:tcPr>
          <w:p>
            <w:r>
              <w:t>GlocalIB (Yang et al.)</w:t>
            </w:r>
          </w:p>
        </w:tc>
        <w:tc>
          <w:tcPr>
            <w:tcW w:type="dxa" w:w="1824"/>
          </w:tcPr>
          <w:p>
            <w:r>
              <w:t>✗</w:t>
            </w:r>
          </w:p>
        </w:tc>
        <w:tc>
          <w:tcPr>
            <w:tcW w:type="dxa" w:w="1824"/>
          </w:tcPr>
          <w:p>
            <w:r>
              <w:t>✓</w:t>
            </w:r>
          </w:p>
        </w:tc>
        <w:tc>
          <w:tcPr>
            <w:tcW w:type="dxa" w:w="1824"/>
          </w:tcPr>
          <w:p>
            <w:r>
              <w:t>N/A (time series)</w:t>
            </w:r>
          </w:p>
        </w:tc>
        <w:tc>
          <w:tcPr>
            <w:tcW w:type="dxa" w:w="1824"/>
          </w:tcPr>
          <w:p>
            <w:r>
              <w:t>✗</w:t>
            </w:r>
          </w:p>
        </w:tc>
      </w:tr>
      <w:tr>
        <w:tc>
          <w:tcPr>
            <w:tcW w:type="dxa" w:w="1824"/>
          </w:tcPr>
          <w:p>
            <w:r>
              <w:rPr>
                <w:b/>
              </w:rPr>
              <w:t>This work</w:t>
            </w:r>
          </w:p>
        </w:tc>
        <w:tc>
          <w:tcPr>
            <w:tcW w:type="dxa" w:w="1824"/>
          </w:tcPr>
          <w:p>
            <w:r>
              <w:rPr>
                <w:b/>
              </w:rPr>
              <w:t>✓</w:t>
            </w:r>
          </w:p>
        </w:tc>
        <w:tc>
          <w:tcPr>
            <w:tcW w:type="dxa" w:w="1824"/>
          </w:tcPr>
          <w:p>
            <w:r>
              <w:rPr>
                <w:b/>
              </w:rPr>
              <w:t>✓</w:t>
            </w:r>
          </w:p>
        </w:tc>
        <w:tc>
          <w:tcPr>
            <w:tcW w:type="dxa" w:w="1824"/>
          </w:tcPr>
          <w:p>
            <w:r>
              <w:rPr>
                <w:b/>
              </w:rPr>
              <w:t>✓ (chunk-and-pool)</w:t>
            </w:r>
          </w:p>
        </w:tc>
        <w:tc>
          <w:tcPr>
            <w:tcW w:type="dxa" w:w="1824"/>
          </w:tcPr>
          <w:p>
            <w:r>
              <w:rPr>
                <w:b/>
              </w:rPr>
              <w:t>✓</w:t>
            </w:r>
          </w:p>
        </w:tc>
      </w:tr>
    </w:tbl>
    <w:p/>
    <w:p>
      <w:r>
        <w:t>No existing work combines legal-domain self-supervised pre-training, an explicit information bottleneck compression objective, paragraph-level long-document encoding, and systematic evaluation in the few-shot regime on the ECtHR benchmark. This combination is the specific contribution of the present work.</w:t>
      </w:r>
    </w:p>
    <w:p>
      <w:pPr>
        <w:pStyle w:val="Heading1"/>
      </w:pPr>
      <w:r>
        <w:rPr>
          <w:color w:val="1F497D"/>
        </w:rPr>
        <w:t>6. Experimental Design</w:t>
      </w:r>
    </w:p>
    <w:p>
      <w:r>
        <w:t>The experimental design follows a single controlled comparison principle: fix everything except the pre-training objective. Any difference in downstream few-shot performance is then attributable to the objective alone.</w:t>
      </w:r>
    </w:p>
    <w:p>
      <w:pPr>
        <w:pStyle w:val="Heading2"/>
      </w:pPr>
      <w:r>
        <w:rPr>
          <w:color w:val="2E74B5"/>
        </w:rPr>
        <w:t>6.1 Dataset</w:t>
      </w:r>
    </w:p>
    <w:p>
      <w:r>
        <w:t>We use the ECtHR (ecthr_a) split from the LexGLUE benchmark (Chalkidis et al., 2022), accessed via HuggingFace Datasets (`coastalcph/lex_glue`). Each example is a list of factual paragraphs paired with multi-hot labels indicating which ECHR articles were violated. We apply a single filter: documents with fewer than 5 paragraphs are removed (they cannot be meaningfully masked). No other preprocessing is applied.</w:t>
      </w:r>
    </w:p>
    <w:p>
      <w:pPr>
        <w:pStyle w:val="ListBullet"/>
      </w:pPr>
      <w:r>
        <w:t>Train: ~9,000 cases (post-filter)</w:t>
      </w:r>
    </w:p>
    <w:p>
      <w:pPr>
        <w:pStyle w:val="ListBullet"/>
      </w:pPr>
      <w:r>
        <w:t>Validation: ~1,000 cases</w:t>
      </w:r>
    </w:p>
    <w:p>
      <w:pPr>
        <w:pStyle w:val="ListBullet"/>
      </w:pPr>
      <w:r>
        <w:t>Test: ~1,000 cases</w:t>
      </w:r>
    </w:p>
    <w:p>
      <w:pPr>
        <w:pStyle w:val="ListBullet"/>
      </w:pPr>
      <w:r>
        <w:t>Classes: 10 ECHR articles (multi-label)</w:t>
      </w:r>
    </w:p>
    <w:p>
      <w:pPr>
        <w:pStyle w:val="ListBullet"/>
      </w:pPr>
      <w:r>
        <w:t>Avg paragraphs per case: 23.1 (max: 558)</w:t>
      </w:r>
    </w:p>
    <w:p>
      <w:pPr>
        <w:pStyle w:val="ListBullet"/>
      </w:pPr>
      <w:r>
        <w:t>Class imbalance: Article 3 dominates (4,704 cases); Article 5 is rarest (41 cases)</w:t>
      </w:r>
    </w:p>
    <w:p>
      <w:pPr>
        <w:pStyle w:val="Heading2"/>
      </w:pPr>
      <w:r>
        <w:rPr>
          <w:color w:val="2E74B5"/>
        </w:rPr>
        <w:t>6.2 Experimental Conditions</w:t>
      </w:r>
    </w:p>
    <w:p>
      <w:r>
        <w:t>Three conditions, differing only in pre-training objective: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Condition</w:t>
            </w:r>
          </w:p>
        </w:tc>
        <w:tc>
          <w:tcPr>
            <w:tcW w:type="dxa" w:w="2280"/>
          </w:tcPr>
          <w:p>
            <w:r>
              <w:rPr>
                <w:b/>
              </w:rPr>
              <w:t>Pre-training Objective</w:t>
            </w:r>
          </w:p>
        </w:tc>
        <w:tc>
          <w:tcPr>
            <w:tcW w:type="dxa" w:w="2280"/>
          </w:tcPr>
          <w:p>
            <w:r>
              <w:rPr>
                <w:b/>
              </w:rPr>
              <w:t>IB Term</w:t>
            </w:r>
          </w:p>
        </w:tc>
        <w:tc>
          <w:tcPr>
            <w:tcW w:type="dxa" w:w="2280"/>
          </w:tcPr>
          <w:p>
            <w:r>
              <w:rPr>
                <w:b/>
              </w:rPr>
              <w:t>Architecture</w:t>
            </w:r>
          </w:p>
        </w:tc>
      </w:tr>
      <w:tr>
        <w:tc>
          <w:tcPr>
            <w:tcW w:type="dxa" w:w="2280"/>
          </w:tcPr>
          <w:p>
            <w:r>
              <w:t>mlm</w:t>
            </w:r>
          </w:p>
        </w:tc>
        <w:tc>
          <w:tcPr>
            <w:tcW w:type="dxa" w:w="2280"/>
          </w:tcPr>
          <w:p>
            <w:r>
              <w:t>Standard MLM (15% token masking)</w:t>
            </w:r>
          </w:p>
        </w:tc>
        <w:tc>
          <w:tcPr>
            <w:tcW w:type="dxa" w:w="2280"/>
          </w:tcPr>
          <w:p>
            <w:r>
              <w:t>None</w:t>
            </w:r>
          </w:p>
        </w:tc>
        <w:tc>
          <w:tcPr>
            <w:tcW w:type="dxa" w:w="2280"/>
          </w:tcPr>
          <w:p>
            <w:r>
              <w:t>RoBERTa-base (standard)</w:t>
            </w:r>
          </w:p>
        </w:tc>
      </w:tr>
      <w:tr>
        <w:tc>
          <w:tcPr>
            <w:tcW w:type="dxa" w:w="2280"/>
          </w:tcPr>
          <w:p>
            <w:r>
              <w:t>glocal_beta0</w:t>
            </w:r>
          </w:p>
        </w:tc>
        <w:tc>
          <w:tcPr>
            <w:tcW w:type="dxa" w:w="2280"/>
          </w:tcPr>
          <w:p>
            <w:r>
              <w:t>GlocalIB alignment only (β=0)</w:t>
            </w:r>
          </w:p>
        </w:tc>
        <w:tc>
          <w:tcPr>
            <w:tcW w:type="dxa" w:w="2280"/>
          </w:tcPr>
          <w:p>
            <w:r>
              <w:t>Disabled</w:t>
            </w:r>
          </w:p>
        </w:tc>
        <w:tc>
          <w:tcPr>
            <w:tcW w:type="dxa" w:w="2280"/>
          </w:tcPr>
          <w:p>
            <w:r>
              <w:t>Teacher-student + probabilistic head</w:t>
            </w:r>
          </w:p>
        </w:tc>
      </w:tr>
      <w:tr>
        <w:tc>
          <w:tcPr>
            <w:tcW w:type="dxa" w:w="2280"/>
          </w:tcPr>
          <w:p>
            <w:r>
              <w:t>glocal_ib</w:t>
            </w:r>
          </w:p>
        </w:tc>
        <w:tc>
          <w:tcPr>
            <w:tcW w:type="dxa" w:w="2280"/>
          </w:tcPr>
          <w:p>
            <w:r>
              <w:t>GlocalIB full (learnable β ≥ 0.01)</w:t>
            </w:r>
          </w:p>
        </w:tc>
        <w:tc>
          <w:tcPr>
            <w:tcW w:type="dxa" w:w="2280"/>
          </w:tcPr>
          <w:p>
            <w:r>
              <w:t>KL compression</w:t>
            </w:r>
          </w:p>
        </w:tc>
        <w:tc>
          <w:tcPr>
            <w:tcW w:type="dxa" w:w="2280"/>
          </w:tcPr>
          <w:p>
            <w:r>
              <w:t>Teacher-student + probabilistic head</w:t>
            </w:r>
          </w:p>
        </w:tc>
      </w:tr>
    </w:tbl>
    <w:p/>
    <w:p>
      <w:r>
        <w:t>The `glocal_beta0` ablation is critical: it isolates the contribution of the IB compression term from the contribution of the teacher-student architecture itself. If glocal_ib outperforms glocal_beta0, the KL compression penalty is responsible for the improvement (H2 confirmed). If glocal_ib ≈ glocal_beta0, the benefit comes from the global-local structure alone, not from compression.</w:t>
      </w:r>
    </w:p>
    <w:p>
      <w:pPr>
        <w:pStyle w:val="Heading2"/>
      </w:pPr>
      <w:r>
        <w:rPr>
          <w:color w:val="2E74B5"/>
        </w:rPr>
        <w:t>6.3 Pre-training Protocol</w:t>
      </w:r>
    </w:p>
    <w:p>
      <w:r>
        <w:t>All three conditions use the ECtHR training split as unlabeled pre-training data. Pre-training runs for 5 epochs with batch size 4 (32GB GPU) or 16 (Spark 128GB). The optimizer is AdamW with learning rate 1e-5. W&amp;B logs per-step: loss, l_align, l_compress, beta, epoch. Checkpoints are saved after each epoch.</w:t>
      </w:r>
    </w:p>
    <w:p>
      <w:r>
        <w:t>For glocal_ib and glocal_beta0, each training step samples a batch of documents, creates the teacher input (all paragraphs) and student input (mask_paragraphs: 20–40% randomly dropped, always keep ≥1), and runs the forward pass through GlocalIBModel. For mlm, the HuggingFace Trainer runs standard token-level 15% masking via DataCollatorForLanguageModeling.</w:t>
      </w:r>
    </w:p>
    <w:p>
      <w:pPr>
        <w:pStyle w:val="Heading2"/>
      </w:pPr>
      <w:r>
        <w:rPr>
          <w:color w:val="2E74B5"/>
        </w:rPr>
        <w:t>6.4 Fine-tuning Protocol</w:t>
      </w:r>
    </w:p>
    <w:p>
      <w:r>
        <w:t>After pre-training, we extract the RoBERTa encoder from each checkpoint and attach a DocumentClassifier: a chunk-and-pool encoder + Linear(768, 10) + sigmoid output for multi-label classification. Fine-tuning trains all weights (encoder + head) on N labeled examples sampled via sample_few_shot(), which ensures each of the 10 classes has ≥N examples.</w:t>
      </w:r>
    </w:p>
    <w:p>
      <w:r>
        <w:t>Fine-tuning runs for 10 epochs, AdamW lr=2e-5, BCELoss. N ∈ {10, 50, 100} × 5 random seeds = 15 runs per condition = 45 total runs.</w:t>
      </w:r>
    </w:p>
    <w:p>
      <w:pPr>
        <w:pStyle w:val="Heading2"/>
      </w:pPr>
      <w:r>
        <w:rPr>
          <w:color w:val="2E74B5"/>
        </w:rPr>
        <w:t>6.5 Evaluation</w:t>
      </w:r>
    </w:p>
    <w:p>
      <w:r>
        <w:t>Macro-F1 on the ECtHR test set, averaged over 5 seeds. We report mean ± std. The primary result is a performance-vs-N curve (log-scale x-axis) showing all three conditions with error bars. The ablation delta table (glocal_ib − glocal_beta0 at each N) quantifies the compression term's contribution.</w:t>
      </w:r>
    </w:p>
    <w:p>
      <w:r>
        <w:t>Beta trajectory diagnostic: the learned β from W&amp;B logs for the glocal_ib condition is plotted over training steps. If β stays near 0.01 (lower bound), the IB term is inactive and H2 is threatened; if β varies adaptively (e.g., increasing, then settling), the model is genuinely learning the compression strength.</w:t>
      </w:r>
    </w:p>
    <w:p>
      <w:pPr>
        <w:pStyle w:val="Heading2"/>
      </w:pPr>
      <w:r>
        <w:rPr>
          <w:color w:val="2E74B5"/>
        </w:rPr>
        <w:t>6.6 Key Invariants and Risks</w:t>
      </w:r>
    </w:p>
    <w:p>
      <w:pPr>
        <w:pStyle w:val="ListBullet"/>
      </w:pPr>
      <w:r>
        <w:t>Stop-gradient is enforced. The teacher branch uses torch.no_grad() on every forward call. Without this, representations collapse. This is the single most critical implementation invariant.</w:t>
      </w:r>
    </w:p>
    <w:p>
      <w:pPr>
        <w:pStyle w:val="ListBullet"/>
      </w:pPr>
      <w:r>
        <w:t>Beta lower bound (0.01). Prevents compression collapse where KL → 0 and the IB term disappears entirely. Removing the clamp would invalidate the glocal_ib condition.</w:t>
      </w:r>
    </w:p>
    <w:p>
      <w:pPr>
        <w:pStyle w:val="ListBullet"/>
      </w:pPr>
      <w:r>
        <w:t>Macro-F1 required. Due to extreme class imbalance, micro-F1 would mask failures on rare classes. All results use macro-F1.</w:t>
      </w:r>
    </w:p>
    <w:p>
      <w:pPr>
        <w:pStyle w:val="ListBullet"/>
      </w:pPr>
      <w:r>
        <w:t>Risk: IB does not survive fine-tuning. The compression learned during pre-training may be undone during full fine-tuning. Mitigation: measure representation geometry (cosine distance between class centroids) before and after fine-tuning.</w:t>
      </w:r>
    </w:p>
    <w:p>
      <w:pPr>
        <w:pStyle w:val="ListBullet"/>
      </w:pPr>
      <w:r>
        <w:t>Risk: GlocalIB does not beat MLM. If H1 fails, the claim pivots to variance reduction (H3): even if mean macro-F1 is comparable, lower standard deviation across seeds is a meaningful practical contribution — more predictable performance in the few-shot regime.</w:t>
      </w:r>
    </w:p>
    <w:p>
      <w:pPr>
        <w:pStyle w:val="Heading1"/>
      </w:pPr>
      <w:r>
        <w:rPr>
          <w:color w:val="1F497D"/>
        </w:rPr>
        <w:t>References</w:t>
      </w:r>
    </w:p>
    <w:p>
      <w:pPr>
        <w:pStyle w:val="ListNumber"/>
      </w:pPr>
      <w:r>
        <w:rPr>
          <w:b/>
        </w:rPr>
        <w:t xml:space="preserve">Tishby, N., Pereira, F. C., &amp; Bialek, W. (1999). </w:t>
      </w:r>
      <w:r>
        <w:t xml:space="preserve">The Information Bottleneck Method. </w:t>
      </w:r>
      <w:r>
        <w:rPr>
          <w:i/>
        </w:rPr>
        <w:t>Proceedings of the 37th Annual Allerton Conference on Communication, Control and Computing.</w:t>
      </w:r>
      <w:r>
        <w:t xml:space="preserve"> pp. 368–377. arXiv:physics/0004057.</w:t>
      </w:r>
    </w:p>
    <w:p>
      <w:pPr>
        <w:pStyle w:val="ListNumber"/>
      </w:pPr>
      <w:r>
        <w:rPr>
          <w:b/>
        </w:rPr>
        <w:t xml:space="preserve">Alemi, A. A., Fischer, I., Dillon, J. V., &amp; Murphy, K. (2017). </w:t>
      </w:r>
      <w:r>
        <w:t xml:space="preserve">Deep Variational Information Bottleneck. </w:t>
      </w:r>
      <w:r>
        <w:rPr>
          <w:i/>
        </w:rPr>
        <w:t>5th International Conference on Learning Representations (ICLR 2017).</w:t>
      </w:r>
      <w:r>
        <w:t xml:space="preserve"> arXiv:1612.00410.</w:t>
      </w:r>
    </w:p>
    <w:p>
      <w:pPr>
        <w:pStyle w:val="ListNumber"/>
      </w:pPr>
      <w:r>
        <w:rPr>
          <w:b/>
        </w:rPr>
        <w:t xml:space="preserve">Yang, J., Zhang, K., Zhang, G., Yu, P. S., &amp; Ding, K. (2025). </w:t>
      </w:r>
      <w:r>
        <w:t xml:space="preserve">Glocal Information Bottleneck for Time Series Imputation. </w:t>
      </w:r>
      <w:r>
        <w:rPr>
          <w:i/>
        </w:rPr>
        <w:t>Advances in Neural Information Processing Systems 38 (NeurIPS 2025).</w:t>
      </w:r>
      <w:r>
        <w:t xml:space="preserve"> arXiv:2510.04910.</w:t>
      </w:r>
    </w:p>
    <w:p>
      <w:pPr>
        <w:pStyle w:val="ListNumber"/>
      </w:pPr>
      <w:r>
        <w:rPr>
          <w:b/>
        </w:rPr>
        <w:t xml:space="preserve">Liu, Y., Ott, M., Goyal, N., et al. (2019). </w:t>
      </w:r>
      <w:r>
        <w:t xml:space="preserve">RoBERTa: A Robustly Optimized BERT Pretraining Approach. </w:t>
      </w:r>
      <w:r>
        <w:rPr>
          <w:i/>
        </w:rPr>
        <w:t>arXiv preprint.</w:t>
      </w:r>
      <w:r>
        <w:t xml:space="preserve"> arXiv:1907.11692.</w:t>
      </w:r>
    </w:p>
    <w:p>
      <w:pPr>
        <w:pStyle w:val="ListNumber"/>
      </w:pPr>
      <w:r>
        <w:rPr>
          <w:b/>
        </w:rPr>
        <w:t xml:space="preserve">Gao, T., Yao, X., &amp; Chen, D. (2021). </w:t>
      </w:r>
      <w:r>
        <w:t xml:space="preserve">SimCSE: Simple Contrastive Learning of Sentence Embeddings. </w:t>
      </w:r>
      <w:r>
        <w:rPr>
          <w:i/>
        </w:rPr>
        <w:t>Proceedings of the 2021 Conference on Empirical Methods in Natural Language Processing (EMNLP 2021).</w:t>
      </w:r>
      <w:r>
        <w:t xml:space="preserve"> pp. 6894–6910. arXiv:2104.08821.</w:t>
      </w:r>
    </w:p>
    <w:p>
      <w:pPr>
        <w:pStyle w:val="ListNumber"/>
      </w:pPr>
      <w:r>
        <w:rPr>
          <w:b/>
        </w:rPr>
        <w:t xml:space="preserve">Giorgi, J., Nitski, O., Wang, B., &amp; Bader, G. (2021). </w:t>
      </w:r>
      <w:r>
        <w:t xml:space="preserve">DeCLUTR: Deep Contrastive Learning for Unsupervised Textual Representations. </w:t>
      </w:r>
      <w:r>
        <w:rPr>
          <w:i/>
        </w:rPr>
        <w:t>Proceedings of the 59th Annual Meeting of the Association for Computational Linguistics (ACL-IJCNLP 2021).</w:t>
      </w:r>
      <w:r>
        <w:t xml:space="preserve"> pp. 879–895. arXiv:2006.03659.</w:t>
      </w:r>
    </w:p>
    <w:p>
      <w:pPr>
        <w:pStyle w:val="ListNumber"/>
      </w:pPr>
      <w:r>
        <w:rPr>
          <w:b/>
        </w:rPr>
        <w:t xml:space="preserve">Grill, J.-B., Strub, F., Altché, F., et al. (2020). </w:t>
      </w:r>
      <w:r>
        <w:t xml:space="preserve">Bootstrap Your Own Latent: A New Approach to Self-Supervised Learning. </w:t>
      </w:r>
      <w:r>
        <w:rPr>
          <w:i/>
        </w:rPr>
        <w:t>Advances in Neural Information Processing Systems 33 (NeurIPS 2020).</w:t>
      </w:r>
      <w:r>
        <w:t xml:space="preserve"> arXiv:2006.07733.</w:t>
      </w:r>
    </w:p>
    <w:p>
      <w:pPr>
        <w:pStyle w:val="ListNumber"/>
      </w:pPr>
      <w:r>
        <w:rPr>
          <w:b/>
        </w:rPr>
        <w:t xml:space="preserve">Chen, X., &amp; He, K. (2021). </w:t>
      </w:r>
      <w:r>
        <w:t xml:space="preserve">Exploring Simple Siamese Representation Learning. </w:t>
      </w:r>
      <w:r>
        <w:rPr>
          <w:i/>
        </w:rPr>
        <w:t>Proceedings of the IEEE/CVF Conference on Computer Vision and Pattern Recognition (CVPR 2021).</w:t>
      </w:r>
      <w:r>
        <w:t xml:space="preserve"> pp. 15750–15758. arXiv:2011.10566.</w:t>
      </w:r>
    </w:p>
    <w:p>
      <w:pPr>
        <w:pStyle w:val="ListNumber"/>
      </w:pPr>
      <w:r>
        <w:rPr>
          <w:b/>
        </w:rPr>
        <w:t xml:space="preserve">Wang, H., Guo, X., Deng, Z., &amp; Lu, Y. (2022). </w:t>
      </w:r>
      <w:r>
        <w:t xml:space="preserve">Rethinking Minimal Sufficient Representation in Contrastive Learning. </w:t>
      </w:r>
      <w:r>
        <w:rPr>
          <w:i/>
        </w:rPr>
        <w:t>Proceedings of the IEEE/CVF Conference on Computer Vision and Pattern Recognition (CVPR 2022 Oral).</w:t>
      </w:r>
      <w:r>
        <w:t xml:space="preserve"> pp. 16085–16094.</w:t>
      </w:r>
    </w:p>
    <w:p>
      <w:pPr>
        <w:pStyle w:val="ListNumber"/>
      </w:pPr>
      <w:r>
        <w:rPr>
          <w:b/>
        </w:rPr>
        <w:t xml:space="preserve">Chalkidis, I., Androutsopoulos, I., &amp; Aletras, N. (2019). </w:t>
      </w:r>
      <w:r>
        <w:t xml:space="preserve">Neural Legal Judgment Prediction in English. </w:t>
      </w:r>
      <w:r>
        <w:rPr>
          <w:i/>
        </w:rPr>
        <w:t>Proceedings of the 57th Annual Meeting of the Association for Computational Linguistics (ACL 2019).</w:t>
      </w:r>
      <w:r>
        <w:t xml:space="preserve"> pp. 4317–4323. arXiv:1906.02059.</w:t>
      </w:r>
    </w:p>
    <w:p>
      <w:pPr>
        <w:pStyle w:val="ListNumber"/>
      </w:pPr>
      <w:r>
        <w:rPr>
          <w:b/>
        </w:rPr>
        <w:t xml:space="preserve">Chalkidis, I., Jana, A., Hartung, D., et al. (2022). </w:t>
      </w:r>
      <w:r>
        <w:t xml:space="preserve">LexGLUE: A Benchmark Dataset for Legal Language Understanding in English. </w:t>
      </w:r>
      <w:r>
        <w:rPr>
          <w:i/>
        </w:rPr>
        <w:t>Proceedings of the 60th Annual Meeting of the Association for Computational Linguistics (ACL 2022).</w:t>
      </w:r>
      <w:r>
        <w:t xml:space="preserve"> Vol. 1, pp. 4310–4330. arXiv:2110.00976.</w:t>
      </w:r>
    </w:p>
    <w:p>
      <w:pPr>
        <w:pStyle w:val="ListNumber"/>
      </w:pPr>
      <w:r>
        <w:rPr>
          <w:b/>
        </w:rPr>
        <w:t xml:space="preserve">Chalkidis, I., Fergadiotis, M., Malakasiotis, P., Aletras, N., &amp; Androutsopoulos, I. (2020). </w:t>
      </w:r>
      <w:r>
        <w:t xml:space="preserve">LEGAL-BERT: The Muppets Straight out of Law School. </w:t>
      </w:r>
      <w:r>
        <w:rPr>
          <w:i/>
        </w:rPr>
        <w:t>Findings of the Association for Computational Linguistics: EMNLP 2020.</w:t>
      </w:r>
      <w:r>
        <w:t xml:space="preserve"> pp. 2898–2904.</w:t>
      </w:r>
    </w:p>
    <w:p>
      <w:pPr>
        <w:pStyle w:val="ListNumber"/>
      </w:pPr>
      <w:r>
        <w:rPr>
          <w:b/>
        </w:rPr>
        <w:t xml:space="preserve">Snell, J., Swersky, K., &amp; Zemel, R. (2017). </w:t>
      </w:r>
      <w:r>
        <w:t xml:space="preserve">Prototypical Networks for Few-Shot Learning. </w:t>
      </w:r>
      <w:r>
        <w:rPr>
          <w:i/>
        </w:rPr>
        <w:t>Advances in Neural Information Processing Systems 30 (NeurIPS 2017).</w:t>
      </w:r>
      <w:r>
        <w:t xml:space="preserve"> arXiv:1703.05175.</w:t>
      </w:r>
    </w:p>
    <w:p>
      <w:pPr>
        <w:pStyle w:val="ListNumber"/>
      </w:pPr>
      <w:r>
        <w:rPr>
          <w:b/>
        </w:rPr>
        <w:t xml:space="preserve">Deng, S., Zhang, N., Sun, Z., Chen, J., &amp; Chen, H. (2020). </w:t>
      </w:r>
      <w:r>
        <w:t xml:space="preserve">When Low Resource NLP Meets Unsupervised Language Model: Meta-Pretraining then Meta-Learning for Few-Shot Text Classification. </w:t>
      </w:r>
      <w:r>
        <w:rPr>
          <w:i/>
        </w:rPr>
        <w:t>Proceedings of the Thirty-Fourth AAAI Conference on Artificial Intelligence (AAAI 2020).</w:t>
      </w:r>
      <w:r>
        <w:t xml:space="preserve"> pp. 13773–13774.</w:t>
      </w:r>
    </w:p>
    <w:p>
      <w:pPr>
        <w:pStyle w:val="ListNumber"/>
      </w:pPr>
      <w:r>
        <w:rPr>
          <w:b/>
        </w:rPr>
        <w:t xml:space="preserve">Sarkar, R., Ojha, A. K., et al. (2021). </w:t>
      </w:r>
      <w:r>
        <w:t xml:space="preserve">Few-Shot and Zero-Shot Approaches to Legal Text Classification: A Case Study in the Financial Sector. </w:t>
      </w:r>
      <w:r>
        <w:rPr>
          <w:i/>
        </w:rPr>
        <w:t>Proceedings of the Natural Legal Language Processing Workshop (NLLP 2021, EMNLP).</w:t>
      </w:r>
      <w:r>
        <w:t xml:space="preserve"> pp. 102–106.</w:t>
      </w:r>
    </w:p>
    <w:p>
      <w:pPr>
        <w:pStyle w:val="ListNumber"/>
      </w:pPr>
      <w:r>
        <w:rPr>
          <w:b/>
        </w:rPr>
        <w:t xml:space="preserve">Devlin, J., Chang, M.-W., Lee, K., &amp; Toutanova, K. (2019). </w:t>
      </w:r>
      <w:r>
        <w:t xml:space="preserve">BERT: Pre-training of Deep Bidirectional Transformers for Language Understanding. </w:t>
      </w:r>
      <w:r>
        <w:rPr>
          <w:i/>
        </w:rPr>
        <w:t>Proceedings of the 2019 Conference of the North American Chapter of the Association for Computational Linguistics (NAACL 2019).</w:t>
      </w:r>
      <w:r>
        <w:t xml:space="preserve"> pp. 4171–4186. arXiv:1810.04805.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