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GCI Backlink Outreach Email Templates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gci-backlink-outreach-email-templates"/>
      <w:r>
        <w:t xml:space="preserve">GCI Backlink Outreach Email Templates</w:t>
      </w:r>
      <w:bookmarkEnd w:id="20"/>
    </w:p>
    <w:p>
      <w:pPr>
        <w:pStyle w:val="FirstParagraph"/>
      </w:pPr>
      <w:r>
        <w:t xml:space="preserve">10 templates targeting UAE finance trade press, family office networks, and allocator publications. Each is designed to land a single backlink from a high-authority domain.</w:t>
      </w:r>
    </w:p>
    <w:p>
      <w:pPr>
        <w:pStyle w:val="BodyText"/>
      </w:pPr>
      <w:r>
        <w:rPr>
          <w:b/>
        </w:rPr>
        <w:t xml:space="preserve">Usage:</w:t>
      </w:r>
      <w:r>
        <w:t xml:space="preserve"> </w:t>
      </w:r>
      <w:r>
        <w:t xml:space="preserve">send one at a time, personalised to recipient. Do NOT blast. Quality over volume.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26c529667043085ac065c87b146a913466196b1"/>
      <w:r>
        <w:t xml:space="preserve">Template 1: UAE Finance Trade Press Pitch (The National, Gulf News, Khaleej Times, Arabian Business, MEED)</w:t>
      </w:r>
      <w:bookmarkEnd w:id="21"/>
    </w:p>
    <w:p>
      <w:pPr>
        <w:pStyle w:val="FirstParagraph"/>
      </w:pPr>
      <w:r>
        <w:rPr>
          <w:b/>
        </w:rPr>
        <w:t xml:space="preserve">Subject:</w:t>
      </w:r>
      <w:r>
        <w:t xml:space="preserve"> </w:t>
      </w:r>
      <w:r>
        <w:t xml:space="preserve">Pitch: GCI data on 14 Saudi sectors post-Vision 2030, with verdicts</w:t>
      </w:r>
    </w:p>
    <w:p>
      <w:pPr>
        <w:pStyle w:val="BodyText"/>
      </w:pPr>
      <w:r>
        <w:t xml:space="preserve">Hi [First Name],</w:t>
      </w:r>
    </w:p>
    <w:p>
      <w:pPr>
        <w:pStyle w:val="BodyText"/>
      </w:pPr>
      <w:r>
        <w:t xml:space="preserve">I run Gulf Capital Intelligence, a DIFC-registered investment intelligence firm that publishes evidence-tiered verdicts on GCC investment decisions for family offices and allocators.</w:t>
      </w:r>
    </w:p>
    <w:p>
      <w:pPr>
        <w:pStyle w:val="BodyText"/>
      </w:pPr>
      <w:r>
        <w:t xml:space="preserve">We just released our Q2 2026 Saudi Vision 2030 sector report (13 pages, 14 sectors, ranked PROCEED / CONDITIONS / AVOID). Two sectors rate STRONG PROCEED, five rate AVOID. The contrarian picks specifically contradict the consensus narrative around [specific sector they recently covered].</w:t>
      </w:r>
    </w:p>
    <w:p>
      <w:pPr>
        <w:pStyle w:val="BodyText"/>
      </w:pPr>
      <w:r>
        <w:t xml:space="preserve">The full report is public at https://gulfcapitalintelligence.com/vision2030.</w:t>
      </w:r>
    </w:p>
    <w:p>
      <w:pPr>
        <w:pStyle w:val="BodyText"/>
      </w:pPr>
      <w:r>
        <w:t xml:space="preserve">If this would fit a [specific column / section], I can provide:</w:t>
      </w:r>
      <w:r>
        <w:t xml:space="preserve"> </w:t>
      </w:r>
      <w:r>
        <w:t xml:space="preserve">- 3 quotes from our analysis ready to attribute</w:t>
      </w:r>
      <w:r>
        <w:t xml:space="preserve"> </w:t>
      </w:r>
      <w:r>
        <w:t xml:space="preserve">- 2 charts we can license at no cost for editorial use</w:t>
      </w:r>
      <w:r>
        <w:t xml:space="preserve"> </w:t>
      </w:r>
      <w:r>
        <w:t xml:space="preserve">- A 20-minute call with me to walk you through the methodology</w:t>
      </w:r>
    </w:p>
    <w:p>
      <w:pPr>
        <w:pStyle w:val="BodyText"/>
      </w:pPr>
      <w:r>
        <w:t xml:space="preserve">Happy to send the report directly or answer questions first.</w:t>
      </w:r>
    </w:p>
    <w:p>
      <w:pPr>
        <w:pStyle w:val="BodyText"/>
      </w:pPr>
      <w:r>
        <w:t xml:space="preserve">Hemant Agarwal</w:t>
      </w:r>
      <w:r>
        <w:br/>
      </w:r>
      <w:r>
        <w:t xml:space="preserve">Founder, Gulf Capital Intelligence</w:t>
      </w:r>
      <w:r>
        <w:br/>
      </w:r>
      <w:r>
        <w:t xml:space="preserve">DIFC Trade Licence CL11954</w:t>
      </w:r>
      <w:r>
        <w:br/>
      </w:r>
      <w:r>
        <w:t xml:space="preserve">gulfcapitalintelligence.com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ef94cf070fd41cd579066f032a359bc086ed9aa"/>
      <w:r>
        <w:t xml:space="preserve">Template 2: Private Wealth / Family Office Newsletter Pitch</w:t>
      </w:r>
      <w:bookmarkEnd w:id="22"/>
    </w:p>
    <w:p>
      <w:pPr>
        <w:pStyle w:val="FirstParagraph"/>
      </w:pPr>
      <w:r>
        <w:rPr>
          <w:b/>
        </w:rPr>
        <w:t xml:space="preserve">Subject:</w:t>
      </w:r>
      <w:r>
        <w:t xml:space="preserve"> </w:t>
      </w:r>
      <w:r>
        <w:t xml:space="preserve">Data: UAE family office cost breakdown 2026, by AUM tier</w:t>
      </w:r>
    </w:p>
    <w:p>
      <w:pPr>
        <w:pStyle w:val="BodyText"/>
      </w:pPr>
      <w:r>
        <w:t xml:space="preserve">Hi [First Name],</w:t>
      </w:r>
    </w:p>
    <w:p>
      <w:pPr>
        <w:pStyle w:val="BodyText"/>
      </w:pPr>
      <w:r>
        <w:t xml:space="preserve">I publish GCI’s quarterly research on GCC family office operations. Our latest piece breaks down annual operating cost by AUM tier, covering:</w:t>
      </w:r>
    </w:p>
    <w:p>
      <w:pPr>
        <w:numPr>
          <w:ilvl w:val="0"/>
          <w:numId w:val="1001"/>
        </w:numPr>
        <w:pStyle w:val="Compact"/>
      </w:pPr>
      <w:r>
        <w:t xml:space="preserve">SFO USD 100M to 200M: USD 800,000 to 1,400,000 annual</w:t>
      </w:r>
    </w:p>
    <w:p>
      <w:pPr>
        <w:numPr>
          <w:ilvl w:val="0"/>
          <w:numId w:val="1001"/>
        </w:numPr>
        <w:pStyle w:val="Compact"/>
      </w:pPr>
      <w:r>
        <w:t xml:space="preserve">SFO USD 200M to 500M: USD 1.2M to 2.4M annual</w:t>
      </w:r>
    </w:p>
    <w:p>
      <w:pPr>
        <w:numPr>
          <w:ilvl w:val="0"/>
          <w:numId w:val="1001"/>
        </w:numPr>
        <w:pStyle w:val="Compact"/>
      </w:pPr>
      <w:r>
        <w:t xml:space="preserve">SFO USD 500M+ to 1B: USD 2.0M to 4.5M annual</w:t>
      </w:r>
    </w:p>
    <w:p>
      <w:pPr>
        <w:pStyle w:val="FirstParagraph"/>
      </w:pPr>
      <w:r>
        <w:t xml:space="preserve">Full breakdown with line items, salary benchmarks, and tech stack analysis at https://gulfcapitalintelligence.com/insights/family-office-cost-structure-uae-2026.html.</w:t>
      </w:r>
    </w:p>
    <w:p>
      <w:pPr>
        <w:pStyle w:val="BodyText"/>
      </w:pPr>
      <w:r>
        <w:t xml:space="preserve">Would this fit your readers? Happy to contribute a 500-word version tailored to [newsletter name] format.</w:t>
      </w:r>
    </w:p>
    <w:p>
      <w:pPr>
        <w:pStyle w:val="BodyText"/>
      </w:pPr>
      <w:r>
        <w:t xml:space="preserve">Hemant Agarwal</w:t>
      </w:r>
      <w:r>
        <w:br/>
      </w:r>
      <w:r>
        <w:t xml:space="preserve">Founder, Gulf Capital Intelligence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4fb409c679ac5a6bb465ab64e233577d367a451"/>
      <w:r>
        <w:t xml:space="preserve">Template 3: Islamic Finance / Sharia Wealth Publication</w:t>
      </w:r>
      <w:bookmarkEnd w:id="23"/>
    </w:p>
    <w:p>
      <w:pPr>
        <w:pStyle w:val="FirstParagraph"/>
      </w:pPr>
      <w:r>
        <w:rPr>
          <w:b/>
        </w:rPr>
        <w:t xml:space="preserve">Subject:</w:t>
      </w:r>
      <w:r>
        <w:t xml:space="preserve"> </w:t>
      </w:r>
      <w:r>
        <w:t xml:space="preserve">Guest piece: Waqf and ADGM Foundation alternatives to Common Law trusts</w:t>
      </w:r>
    </w:p>
    <w:p>
      <w:pPr>
        <w:pStyle w:val="BodyText"/>
      </w:pPr>
      <w:r>
        <w:t xml:space="preserve">Hi [First Name],</w:t>
      </w:r>
    </w:p>
    <w:p>
      <w:pPr>
        <w:pStyle w:val="BodyText"/>
      </w:pPr>
      <w:r>
        <w:t xml:space="preserve">Your recent [article title] on Sharia-compliant wealth structuring highlighted a gap that’s actually emerging fast in the UAE: families moving from Common Law trusts to Foundation structures for Sharia alignment.</w:t>
      </w:r>
    </w:p>
    <w:p>
      <w:pPr>
        <w:pStyle w:val="BodyText"/>
      </w:pPr>
      <w:r>
        <w:t xml:space="preserve">I’ve just published a framework for Muslim HNWI families comparing Waqf, DIFC Foundation, ADGM Foundation, Hibah, and Wasiyah at https://gulfcapitalintelligence.com/insights/sharia-compliant-family-trust-alternatives-2026.html.</w:t>
      </w:r>
    </w:p>
    <w:p>
      <w:pPr>
        <w:pStyle w:val="BodyText"/>
      </w:pPr>
      <w:r>
        <w:t xml:space="preserve">Would you be interested in:</w:t>
      </w:r>
      <w:r>
        <w:t xml:space="preserve"> </w:t>
      </w:r>
      <w:r>
        <w:t xml:space="preserve">(a) a guest column version under my byline for your publication, or</w:t>
      </w:r>
      <w:r>
        <w:t xml:space="preserve"> </w:t>
      </w:r>
      <w:r>
        <w:t xml:space="preserve">(b) a joint analysis piece with your in-house team?</w:t>
      </w:r>
    </w:p>
    <w:p>
      <w:pPr>
        <w:pStyle w:val="BodyText"/>
      </w:pPr>
      <w:r>
        <w:t xml:space="preserve">Happy to discuss either.</w:t>
      </w:r>
    </w:p>
    <w:p>
      <w:pPr>
        <w:pStyle w:val="BodyText"/>
      </w:pPr>
      <w:r>
        <w:t xml:space="preserve">Hemant Agarwal</w:t>
      </w:r>
      <w:r>
        <w:br/>
      </w:r>
      <w:r>
        <w:t xml:space="preserve">Founder, Gulf Capital Intelligence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e44f90feac21cb9e96c6072cb47c08c1c5a9149"/>
      <w:r>
        <w:t xml:space="preserve">Template 4: India-UAE Cross-Border Publication</w:t>
      </w:r>
      <w:bookmarkEnd w:id="24"/>
    </w:p>
    <w:p>
      <w:pPr>
        <w:pStyle w:val="FirstParagraph"/>
      </w:pPr>
      <w:r>
        <w:rPr>
          <w:b/>
        </w:rPr>
        <w:t xml:space="preserve">Subject:</w:t>
      </w:r>
      <w:r>
        <w:t xml:space="preserve"> </w:t>
      </w:r>
      <w:r>
        <w:t xml:space="preserve">NRI tax residency trap: 190 days in India can erase UAE status</w:t>
      </w:r>
    </w:p>
    <w:p>
      <w:pPr>
        <w:pStyle w:val="BodyText"/>
      </w:pPr>
      <w:r>
        <w:t xml:space="preserve">Hi [First Name],</w:t>
      </w:r>
    </w:p>
    <w:p>
      <w:pPr>
        <w:pStyle w:val="BodyText"/>
      </w:pPr>
      <w:r>
        <w:t xml:space="preserve">Our recent Conviction Report case surfaced a tax residency problem affecting thousands of NRIs who relocated to UAE but kept business interests in India. Indian Deemed Resident rules can trigger worldwide taxation even with UAE Golden Visa.</w:t>
      </w:r>
    </w:p>
    <w:p>
      <w:pPr>
        <w:pStyle w:val="BodyText"/>
      </w:pPr>
      <w:r>
        <w:t xml:space="preserve">Full analysis with India-UAE DTAA mechanics at https://gulfcapitalintelligence.com/insights/nri-tax-implications-relocating-to-uae-2026.html.</w:t>
      </w:r>
    </w:p>
    <w:p>
      <w:pPr>
        <w:pStyle w:val="BodyText"/>
      </w:pPr>
      <w:r>
        <w:t xml:space="preserve">Would this work for your readership? I can produce:</w:t>
      </w:r>
      <w:r>
        <w:t xml:space="preserve"> </w:t>
      </w:r>
      <w:r>
        <w:t xml:space="preserve">- A 600-word piece tailored to [publication] style</w:t>
      </w:r>
      <w:r>
        <w:t xml:space="preserve"> </w:t>
      </w:r>
      <w:r>
        <w:t xml:space="preserve">- Case studies (anonymised) showing tax exposure numbers</w:t>
      </w:r>
      <w:r>
        <w:t xml:space="preserve"> </w:t>
      </w:r>
      <w:r>
        <w:t xml:space="preserve">- A review panel with your tax editor before publication</w:t>
      </w:r>
    </w:p>
    <w:p>
      <w:pPr>
        <w:pStyle w:val="BodyText"/>
      </w:pPr>
      <w:r>
        <w:t xml:space="preserve">Hemant Agarwal</w:t>
      </w:r>
      <w:r>
        <w:br/>
      </w:r>
      <w:r>
        <w:t xml:space="preserve">Founder, Gulf Capital Intelligence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240e1bfd55716b927e6c7517fafb272860b98a3"/>
      <w:r>
        <w:t xml:space="preserve">Template 5: Real Estate Investment Publication</w:t>
      </w:r>
      <w:bookmarkEnd w:id="25"/>
    </w:p>
    <w:p>
      <w:pPr>
        <w:pStyle w:val="FirstParagraph"/>
      </w:pPr>
      <w:r>
        <w:rPr>
          <w:b/>
        </w:rPr>
        <w:t xml:space="preserve">Subject:</w:t>
      </w:r>
      <w:r>
        <w:t xml:space="preserve"> </w:t>
      </w:r>
      <w:r>
        <w:t xml:space="preserve">Dubai Marina vs Palm Jumeirah: net yield math with DLD data</w:t>
      </w:r>
    </w:p>
    <w:p>
      <w:pPr>
        <w:pStyle w:val="BodyText"/>
      </w:pPr>
      <w:r>
        <w:t xml:space="preserve">Hi [First Name],</w:t>
      </w:r>
    </w:p>
    <w:p>
      <w:pPr>
        <w:pStyle w:val="BodyText"/>
      </w:pPr>
      <w:r>
        <w:t xml:space="preserve">Most comparison pieces on Dubai Marina versus Palm Jumeirah use broker averages. I ran actual Dubai Land Department transaction data for the last 12 months plus Ejari rental records to build a net-yield-after-service-charge comparison.</w:t>
      </w:r>
    </w:p>
    <w:p>
      <w:pPr>
        <w:pStyle w:val="BodyText"/>
      </w:pPr>
      <w:r>
        <w:t xml:space="preserve">Full analysis at https://gulfcapitalintelligence.com/insights/dubai-marina-vs-palm-jumeirah-investment-2026.html.</w:t>
      </w:r>
    </w:p>
    <w:p>
      <w:pPr>
        <w:pStyle w:val="BodyText"/>
      </w:pPr>
      <w:r>
        <w:t xml:space="preserve">Key finding: a USD 4.8M Palm apartment needs 9.2 percent annual capital appreciation to match the IRR of a two-apartment Marina portfolio at the same total investment. Contrarian to the Palm trophy-asset consensus.</w:t>
      </w:r>
    </w:p>
    <w:p>
      <w:pPr>
        <w:pStyle w:val="BodyText"/>
      </w:pPr>
      <w:r>
        <w:t xml:space="preserve">Interested in a 500-word contributed piece? Happy to tailor to your editorial voice.</w:t>
      </w:r>
    </w:p>
    <w:p>
      <w:pPr>
        <w:pStyle w:val="BodyText"/>
      </w:pPr>
      <w:r>
        <w:t xml:space="preserve">Hemant Agarwal</w:t>
      </w:r>
      <w:r>
        <w:br/>
      </w:r>
      <w:r>
        <w:t xml:space="preserve">Founder, Gulf Capital Intelligence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cb316511c3428713573d19846ba06ed8080b504"/>
      <w:r>
        <w:t xml:space="preserve">Template 6: Podcast or YouTube Interview Pitch</w:t>
      </w:r>
      <w:bookmarkEnd w:id="26"/>
    </w:p>
    <w:p>
      <w:pPr>
        <w:pStyle w:val="FirstParagraph"/>
      </w:pPr>
      <w:r>
        <w:rPr>
          <w:b/>
        </w:rPr>
        <w:t xml:space="preserve">Subject:</w:t>
      </w:r>
      <w:r>
        <w:t xml:space="preserve"> </w:t>
      </w:r>
      <w:r>
        <w:t xml:space="preserve">Guest: how we pressure-test GCC deals before allocators commit capital</w:t>
      </w:r>
    </w:p>
    <w:p>
      <w:pPr>
        <w:pStyle w:val="BodyText"/>
      </w:pPr>
      <w:r>
        <w:t xml:space="preserve">Hi [First Name],</w:t>
      </w:r>
    </w:p>
    <w:p>
      <w:pPr>
        <w:pStyle w:val="BodyText"/>
      </w:pPr>
      <w:r>
        <w:t xml:space="preserve">Love the [show name] series, especially your [specific episode title] with [specific guest].</w:t>
      </w:r>
    </w:p>
    <w:p>
      <w:pPr>
        <w:pStyle w:val="BodyText"/>
      </w:pPr>
      <w:r>
        <w:t xml:space="preserve">I’d love to be a guest. My angle:</w:t>
      </w:r>
      <w:r>
        <w:t xml:space="preserve"> </w:t>
      </w:r>
      <w:r>
        <w:t xml:space="preserve">- How we built GCI as a product layer between McKinsey and ChatGPT</w:t>
      </w:r>
      <w:r>
        <w:t xml:space="preserve"> </w:t>
      </w:r>
      <w:r>
        <w:t xml:space="preserve">- The 5-stage analytical pipeline we use on every Conviction Report</w:t>
      </w:r>
      <w:r>
        <w:t xml:space="preserve"> </w:t>
      </w:r>
      <w:r>
        <w:t xml:space="preserve">- Specific examples (anonymised) of PROCEED, CONDITIONS, and AVOID verdicts</w:t>
      </w:r>
      <w:r>
        <w:t xml:space="preserve"> </w:t>
      </w:r>
      <w:r>
        <w:t xml:space="preserve">- The India-GCC corridor opportunity that nobody is pricing correctly</w:t>
      </w:r>
    </w:p>
    <w:p>
      <w:pPr>
        <w:pStyle w:val="BodyText"/>
      </w:pPr>
      <w:r>
        <w:t xml:space="preserve">Background: DIFC-registered, multi-AI architecture (Claude, GPT, Gemini), founded after a decade advising UAE businesses. I’d bring real deal stories, not generic investment commentary.</w:t>
      </w:r>
    </w:p>
    <w:p>
      <w:pPr>
        <w:pStyle w:val="BodyText"/>
      </w:pPr>
      <w:r>
        <w:t xml:space="preserve">Available for recording in the next 4 weeks. 45 to 60 minutes.</w:t>
      </w:r>
    </w:p>
    <w:p>
      <w:pPr>
        <w:pStyle w:val="BodyText"/>
      </w:pPr>
      <w:r>
        <w:t xml:space="preserve">Hemant Agarwal</w:t>
      </w:r>
      <w:r>
        <w:br/>
      </w:r>
      <w:r>
        <w:t xml:space="preserve">Founder, Gulf Capital Intelligence</w:t>
      </w:r>
      <w:r>
        <w:br/>
      </w:r>
      <w:r>
        <w:t xml:space="preserve">gulfcapitalintelligence.com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a60d5fb8abf9dc49bd8ab26deb8c502a167c00b"/>
      <w:r>
        <w:t xml:space="preserve">Template 7: LinkedIn Cold Outreach (Allocator or Family Office Principal)</w:t>
      </w:r>
      <w:bookmarkEnd w:id="27"/>
    </w:p>
    <w:p>
      <w:pPr>
        <w:pStyle w:val="FirstParagraph"/>
      </w:pPr>
      <w:r>
        <w:rPr>
          <w:b/>
        </w:rPr>
        <w:t xml:space="preserve">Subject:</w:t>
      </w:r>
      <w:r>
        <w:t xml:space="preserve"> </w:t>
      </w:r>
      <w:r>
        <w:t xml:space="preserve">(short DM)</w:t>
      </w:r>
    </w:p>
    <w:p>
      <w:pPr>
        <w:pStyle w:val="BodyText"/>
      </w:pPr>
      <w:r>
        <w:t xml:space="preserve">Hi [First Name], I run Gulf Capital Intelligence (DIFC). We do Conviction Reports on GCC investment opportunities for family offices. I noticed your [specific post / comment] on [topic] and thought you might find our [specific article URL] useful. No pitch - just sharing in case it saves you time. Happy to chat if helpful.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2a238fe8fbdad0044983677a506183936885f36"/>
      <w:r>
        <w:t xml:space="preserve">Template 8: Law Firm / Advisory Partnership Pitch</w:t>
      </w:r>
      <w:bookmarkEnd w:id="28"/>
    </w:p>
    <w:p>
      <w:pPr>
        <w:pStyle w:val="FirstParagraph"/>
      </w:pPr>
      <w:r>
        <w:rPr>
          <w:b/>
        </w:rPr>
        <w:t xml:space="preserve">Subject:</w:t>
      </w:r>
      <w:r>
        <w:t xml:space="preserve"> </w:t>
      </w:r>
      <w:r>
        <w:t xml:space="preserve">Partnership: GCC Conviction Reports for your clients</w:t>
      </w:r>
    </w:p>
    <w:p>
      <w:pPr>
        <w:pStyle w:val="BodyText"/>
      </w:pPr>
      <w:r>
        <w:t xml:space="preserve">Hi [First Name],</w:t>
      </w:r>
    </w:p>
    <w:p>
      <w:pPr>
        <w:pStyle w:val="BodyText"/>
      </w:pPr>
      <w:r>
        <w:t xml:space="preserve">I run Gulf Capital Intelligence, a DIFC-registered investment intelligence firm. We produce Conviction Reports (PROCEED / CONDITIONS / AVOID verdicts) on GCC investment decisions for family offices and allocators.</w:t>
      </w:r>
    </w:p>
    <w:p>
      <w:pPr>
        <w:pStyle w:val="BodyText"/>
      </w:pPr>
      <w:r>
        <w:t xml:space="preserve">We’re building a partner network of law firms and advisory practices who want to white-label or co-deliver our analysis on deal opportunities their clients are evaluating.</w:t>
      </w:r>
    </w:p>
    <w:p>
      <w:pPr>
        <w:pStyle w:val="BodyText"/>
      </w:pPr>
      <w:r>
        <w:t xml:space="preserve">The partnership model:</w:t>
      </w:r>
      <w:r>
        <w:t xml:space="preserve"> </w:t>
      </w:r>
      <w:r>
        <w:t xml:space="preserve">- You flag deals where clients want an independent second opinion</w:t>
      </w:r>
      <w:r>
        <w:t xml:space="preserve"> </w:t>
      </w:r>
      <w:r>
        <w:t xml:space="preserve">- We deliver a 10-section Conviction Report in 3 to 5 days</w:t>
      </w:r>
      <w:r>
        <w:t xml:space="preserve"> </w:t>
      </w:r>
      <w:r>
        <w:t xml:space="preserve">- Your firm is credited on the cover; revenue share by arrangement</w:t>
      </w:r>
      <w:r>
        <w:t xml:space="preserve"> </w:t>
      </w:r>
      <w:r>
        <w:t xml:space="preserve">- Full methodology and evidence-tiered citations</w:t>
      </w:r>
    </w:p>
    <w:p>
      <w:pPr>
        <w:pStyle w:val="BodyText"/>
      </w:pPr>
      <w:r>
        <w:t xml:space="preserve">Would a 30-minute call make sense to explore? Our partner page is https://gulfcapitalintelligence.com/partners.html.</w:t>
      </w:r>
    </w:p>
    <w:p>
      <w:pPr>
        <w:pStyle w:val="BodyText"/>
      </w:pPr>
      <w:r>
        <w:t xml:space="preserve">Hemant Agarwal</w:t>
      </w:r>
      <w:r>
        <w:br/>
      </w:r>
      <w:r>
        <w:t xml:space="preserve">Founder, Gulf Capital Intelligence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c16e8c7be7ad1af01d47a9f435cd78c973bc4ec"/>
      <w:r>
        <w:t xml:space="preserve">Template 9: Academic / University Research Citation Pitch</w:t>
      </w:r>
      <w:bookmarkEnd w:id="29"/>
    </w:p>
    <w:p>
      <w:pPr>
        <w:pStyle w:val="FirstParagraph"/>
      </w:pPr>
      <w:r>
        <w:rPr>
          <w:b/>
        </w:rPr>
        <w:t xml:space="preserve">Subject:</w:t>
      </w:r>
      <w:r>
        <w:t xml:space="preserve"> </w:t>
      </w:r>
      <w:r>
        <w:t xml:space="preserve">Research citation opportunity: GCI Conviction Engine methodology</w:t>
      </w:r>
    </w:p>
    <w:p>
      <w:pPr>
        <w:pStyle w:val="BodyText"/>
      </w:pPr>
      <w:r>
        <w:t xml:space="preserve">Hi [Professor / Researcher],</w:t>
      </w:r>
    </w:p>
    <w:p>
      <w:pPr>
        <w:pStyle w:val="BodyText"/>
      </w:pPr>
      <w:r>
        <w:t xml:space="preserve">Your recent paper [paper title] on [specific topic] aligned closely with methodology questions we’ve documented at Gulf Capital Intelligence. Specifically our evidence-tier system (VERIFIED / REPORTED / STATED / ESTIMATED / ASSUMED) applied to GCC investment analysis.</w:t>
      </w:r>
    </w:p>
    <w:p>
      <w:pPr>
        <w:pStyle w:val="BodyText"/>
      </w:pPr>
      <w:r>
        <w:t xml:space="preserve">Full methodology at https://gulfcapitalintelligence.com/methodology.html.</w:t>
      </w:r>
    </w:p>
    <w:p>
      <w:pPr>
        <w:pStyle w:val="BodyText"/>
      </w:pPr>
      <w:r>
        <w:t xml:space="preserve">Three potential collaboration paths:</w:t>
      </w:r>
      <w:r>
        <w:t xml:space="preserve"> </w:t>
      </w:r>
      <w:r>
        <w:t xml:space="preserve">(a) Citation of our published methodology in your next paper (no commercial element)</w:t>
      </w:r>
      <w:r>
        <w:t xml:space="preserve"> </w:t>
      </w:r>
      <w:r>
        <w:t xml:space="preserve">(b) Co-authored case study applying your framework to our Conviction Reports</w:t>
      </w:r>
      <w:r>
        <w:t xml:space="preserve"> </w:t>
      </w:r>
      <w:r>
        <w:t xml:space="preserve">(c) Guest lecture or masterclass for your students on AI-assisted investment intelligence</w:t>
      </w:r>
    </w:p>
    <w:p>
      <w:pPr>
        <w:pStyle w:val="BodyText"/>
      </w:pPr>
      <w:r>
        <w:t xml:space="preserve">Happy to discuss any or none.</w:t>
      </w:r>
    </w:p>
    <w:p>
      <w:pPr>
        <w:pStyle w:val="BodyText"/>
      </w:pPr>
      <w:r>
        <w:t xml:space="preserve">Hemant Agarwal</w:t>
      </w:r>
      <w:r>
        <w:br/>
      </w:r>
      <w:r>
        <w:t xml:space="preserve">Founder, Gulf Capital Intelligence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4ee042b32397807fb2f443cdd8e54c3e2918cb8"/>
      <w:r>
        <w:t xml:space="preserve">Template 10: Event / Conference Speaking Pitch</w:t>
      </w:r>
      <w:bookmarkEnd w:id="30"/>
    </w:p>
    <w:p>
      <w:pPr>
        <w:pStyle w:val="FirstParagraph"/>
      </w:pPr>
      <w:r>
        <w:rPr>
          <w:b/>
        </w:rPr>
        <w:t xml:space="preserve">Subject:</w:t>
      </w:r>
      <w:r>
        <w:t xml:space="preserve"> </w:t>
      </w:r>
      <w:r>
        <w:t xml:space="preserve">Speaker: How family offices are using AI to pressure-test GCC deals</w:t>
      </w:r>
    </w:p>
    <w:p>
      <w:pPr>
        <w:pStyle w:val="BodyText"/>
      </w:pPr>
      <w:r>
        <w:t xml:space="preserve">Hi [Event Organiser],</w:t>
      </w:r>
    </w:p>
    <w:p>
      <w:pPr>
        <w:pStyle w:val="BodyText"/>
      </w:pPr>
      <w:r>
        <w:t xml:space="preserve">Thanks for putting together [event name]. The session on [specific session] looks strong.</w:t>
      </w:r>
    </w:p>
    <w:p>
      <w:pPr>
        <w:pStyle w:val="BodyText"/>
      </w:pPr>
      <w:r>
        <w:t xml:space="preserve">I’d love to be considered as a panel speaker or keynote presenter. My pitch:</w:t>
      </w:r>
    </w:p>
    <w:p>
      <w:pPr>
        <w:pStyle w:val="BodyText"/>
      </w:pPr>
      <w:r>
        <w:rPr>
          <w:b/>
        </w:rPr>
        <w:t xml:space="preserve">Title:</w:t>
      </w:r>
      <w:r>
        <w:t xml:space="preserve"> </w:t>
      </w:r>
      <w:r>
        <w:t xml:space="preserve">“</w:t>
      </w:r>
      <w:r>
        <w:t xml:space="preserve">Verdicts, not advice: how GCI’s multi-AI Conviction Engine is changing GCC due diligence</w:t>
      </w:r>
      <w:r>
        <w:t xml:space="preserve">”</w:t>
      </w:r>
    </w:p>
    <w:p>
      <w:pPr>
        <w:pStyle w:val="BodyText"/>
      </w:pPr>
      <w:r>
        <w:rPr>
          <w:b/>
        </w:rPr>
        <w:t xml:space="preserve">Content:</w:t>
      </w:r>
      <w:r>
        <w:t xml:space="preserve"> </w:t>
      </w:r>
      <w:r>
        <w:t xml:space="preserve">25 minutes on what we built, 10 minutes on real (anonymised) deal examples, Q&amp;A.</w:t>
      </w:r>
    </w:p>
    <w:p>
      <w:pPr>
        <w:pStyle w:val="BodyText"/>
      </w:pPr>
      <w:r>
        <w:rPr>
          <w:b/>
        </w:rPr>
        <w:t xml:space="preserve">Audience fit:</w:t>
      </w:r>
      <w:r>
        <w:t xml:space="preserve"> </w:t>
      </w:r>
      <w:r>
        <w:t xml:space="preserve">family office principals, allocators, deal teams, M&amp;A advisors. Not technical enough to lose the business audience, not soft enough to lose the analytical one.</w:t>
      </w:r>
    </w:p>
    <w:p>
      <w:pPr>
        <w:pStyle w:val="BodyText"/>
      </w:pPr>
      <w:r>
        <w:t xml:space="preserve">I’m DIFC-based, Trade Licence CL11954, and our clients include GCC family offices and private investment vehicles.</w:t>
      </w:r>
    </w:p>
    <w:p>
      <w:pPr>
        <w:pStyle w:val="BodyText"/>
      </w:pPr>
      <w:r>
        <w:t xml:space="preserve">Available dates: [insert your availability].</w:t>
      </w:r>
    </w:p>
    <w:p>
      <w:pPr>
        <w:pStyle w:val="BodyText"/>
      </w:pPr>
      <w:r>
        <w:t xml:space="preserve">Hemant Agarwal</w:t>
      </w:r>
      <w:r>
        <w:br/>
      </w:r>
      <w:r>
        <w:t xml:space="preserve">Founder, Gulf Capital Intelligence</w:t>
      </w:r>
      <w:r>
        <w:br/>
      </w:r>
      <w:r>
        <w:t xml:space="preserve">gulfcapitalintelligence.com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target-publication-list-start-here"/>
      <w:r>
        <w:t xml:space="preserve">Target publication list (start here)</w:t>
      </w:r>
      <w:bookmarkEnd w:id="31"/>
    </w:p>
    <w:p>
      <w:pPr>
        <w:pStyle w:val="Heading3"/>
      </w:pPr>
      <w:bookmarkStart w:id="32" w:name="uae-finance-trade-press"/>
      <w:r>
        <w:t xml:space="preserve">UAE Finance Trade Press</w:t>
      </w:r>
      <w:bookmarkEnd w:id="32"/>
    </w:p>
    <w:p>
      <w:pPr>
        <w:numPr>
          <w:ilvl w:val="0"/>
          <w:numId w:val="1002"/>
        </w:numPr>
        <w:pStyle w:val="Compact"/>
      </w:pPr>
      <w:r>
        <w:t xml:space="preserve">The National - Business section</w:t>
      </w:r>
    </w:p>
    <w:p>
      <w:pPr>
        <w:numPr>
          <w:ilvl w:val="0"/>
          <w:numId w:val="1002"/>
        </w:numPr>
        <w:pStyle w:val="Compact"/>
      </w:pPr>
      <w:r>
        <w:t xml:space="preserve">Gulf News - Business / Finance editor</w:t>
      </w:r>
    </w:p>
    <w:p>
      <w:pPr>
        <w:numPr>
          <w:ilvl w:val="0"/>
          <w:numId w:val="1002"/>
        </w:numPr>
        <w:pStyle w:val="Compact"/>
      </w:pPr>
      <w:r>
        <w:t xml:space="preserve">Khaleej Times - Finance editor</w:t>
      </w:r>
    </w:p>
    <w:p>
      <w:pPr>
        <w:numPr>
          <w:ilvl w:val="0"/>
          <w:numId w:val="1002"/>
        </w:numPr>
        <w:pStyle w:val="Compact"/>
      </w:pPr>
      <w:r>
        <w:t xml:space="preserve">Arabian Business - Investment editor</w:t>
      </w:r>
    </w:p>
    <w:p>
      <w:pPr>
        <w:numPr>
          <w:ilvl w:val="0"/>
          <w:numId w:val="1002"/>
        </w:numPr>
        <w:pStyle w:val="Compact"/>
      </w:pPr>
      <w:r>
        <w:t xml:space="preserve">MEED - Gulf editor</w:t>
      </w:r>
    </w:p>
    <w:p>
      <w:pPr>
        <w:numPr>
          <w:ilvl w:val="0"/>
          <w:numId w:val="1002"/>
        </w:numPr>
        <w:pStyle w:val="Compact"/>
      </w:pPr>
      <w:r>
        <w:t xml:space="preserve">Arabian Gulf Business Insight (AGBI) - Editor</w:t>
      </w:r>
    </w:p>
    <w:p>
      <w:pPr>
        <w:numPr>
          <w:ilvl w:val="0"/>
          <w:numId w:val="1002"/>
        </w:numPr>
        <w:pStyle w:val="Compact"/>
      </w:pPr>
      <w:r>
        <w:t xml:space="preserve">Zawya / LSEG - Editorial team</w:t>
      </w:r>
    </w:p>
    <w:p>
      <w:pPr>
        <w:numPr>
          <w:ilvl w:val="0"/>
          <w:numId w:val="1002"/>
        </w:numPr>
        <w:pStyle w:val="Compact"/>
      </w:pPr>
      <w:r>
        <w:t xml:space="preserve">Business Monitor International</w:t>
      </w:r>
    </w:p>
    <w:p>
      <w:pPr>
        <w:pStyle w:val="Heading3"/>
      </w:pPr>
      <w:bookmarkStart w:id="33" w:name="X1f01fc80756f2fa4d897c9bfb4bfb6e157224b6"/>
      <w:r>
        <w:t xml:space="preserve">Family Office and Private Wealth Publications</w:t>
      </w:r>
      <w:bookmarkEnd w:id="33"/>
    </w:p>
    <w:p>
      <w:pPr>
        <w:numPr>
          <w:ilvl w:val="0"/>
          <w:numId w:val="1003"/>
        </w:numPr>
        <w:pStyle w:val="Compact"/>
      </w:pPr>
      <w:r>
        <w:t xml:space="preserve">Family Capital (UK-based, GCC coverage)</w:t>
      </w:r>
    </w:p>
    <w:p>
      <w:pPr>
        <w:numPr>
          <w:ilvl w:val="0"/>
          <w:numId w:val="1003"/>
        </w:numPr>
        <w:pStyle w:val="Compact"/>
      </w:pPr>
      <w:r>
        <w:t xml:space="preserve">Private Equity International - Middle East edition</w:t>
      </w:r>
    </w:p>
    <w:p>
      <w:pPr>
        <w:numPr>
          <w:ilvl w:val="0"/>
          <w:numId w:val="1003"/>
        </w:numPr>
        <w:pStyle w:val="Compact"/>
      </w:pPr>
      <w:r>
        <w:t xml:space="preserve">Campden Wealth - GCC contributors</w:t>
      </w:r>
    </w:p>
    <w:p>
      <w:pPr>
        <w:numPr>
          <w:ilvl w:val="0"/>
          <w:numId w:val="1003"/>
        </w:numPr>
        <w:pStyle w:val="Compact"/>
      </w:pPr>
      <w:r>
        <w:t xml:space="preserve">Alternatives Watch - Middle East focus</w:t>
      </w:r>
    </w:p>
    <w:p>
      <w:pPr>
        <w:numPr>
          <w:ilvl w:val="0"/>
          <w:numId w:val="1003"/>
        </w:numPr>
        <w:pStyle w:val="Compact"/>
      </w:pPr>
      <w:r>
        <w:t xml:space="preserve">Investable Universe</w:t>
      </w:r>
    </w:p>
    <w:p>
      <w:pPr>
        <w:numPr>
          <w:ilvl w:val="0"/>
          <w:numId w:val="1003"/>
        </w:numPr>
        <w:pStyle w:val="Compact"/>
      </w:pPr>
      <w:r>
        <w:t xml:space="preserve">Private Wealth Management (PWM) magazine</w:t>
      </w:r>
    </w:p>
    <w:p>
      <w:pPr>
        <w:pStyle w:val="Heading3"/>
      </w:pPr>
      <w:bookmarkStart w:id="34" w:name="islamic-finance-and-sharia"/>
      <w:r>
        <w:t xml:space="preserve">Islamic Finance and Sharia</w:t>
      </w:r>
      <w:bookmarkEnd w:id="34"/>
    </w:p>
    <w:p>
      <w:pPr>
        <w:numPr>
          <w:ilvl w:val="0"/>
          <w:numId w:val="1004"/>
        </w:numPr>
        <w:pStyle w:val="Compact"/>
      </w:pPr>
      <w:r>
        <w:t xml:space="preserve">Salaam Gateway</w:t>
      </w:r>
    </w:p>
    <w:p>
      <w:pPr>
        <w:numPr>
          <w:ilvl w:val="0"/>
          <w:numId w:val="1004"/>
        </w:numPr>
        <w:pStyle w:val="Compact"/>
      </w:pPr>
      <w:r>
        <w:t xml:space="preserve">Islamic Finance News (IFN)</w:t>
      </w:r>
    </w:p>
    <w:p>
      <w:pPr>
        <w:numPr>
          <w:ilvl w:val="0"/>
          <w:numId w:val="1004"/>
        </w:numPr>
        <w:pStyle w:val="Compact"/>
      </w:pPr>
      <w:r>
        <w:t xml:space="preserve">New Horizon Magazine</w:t>
      </w:r>
    </w:p>
    <w:p>
      <w:pPr>
        <w:numPr>
          <w:ilvl w:val="0"/>
          <w:numId w:val="1004"/>
        </w:numPr>
        <w:pStyle w:val="Compact"/>
      </w:pPr>
      <w:r>
        <w:t xml:space="preserve">Middle East Banker</w:t>
      </w:r>
    </w:p>
    <w:p>
      <w:pPr>
        <w:pStyle w:val="Heading3"/>
      </w:pPr>
      <w:bookmarkStart w:id="35" w:name="india-uae-cross-border"/>
      <w:r>
        <w:t xml:space="preserve">India-UAE Cross-Border</w:t>
      </w:r>
      <w:bookmarkEnd w:id="35"/>
    </w:p>
    <w:p>
      <w:pPr>
        <w:numPr>
          <w:ilvl w:val="0"/>
          <w:numId w:val="1005"/>
        </w:numPr>
        <w:pStyle w:val="Compact"/>
      </w:pPr>
      <w:r>
        <w:t xml:space="preserve">Economic Times - NRI section</w:t>
      </w:r>
    </w:p>
    <w:p>
      <w:pPr>
        <w:numPr>
          <w:ilvl w:val="0"/>
          <w:numId w:val="1005"/>
        </w:numPr>
        <w:pStyle w:val="Compact"/>
      </w:pPr>
      <w:r>
        <w:t xml:space="preserve">Business Standard</w:t>
      </w:r>
    </w:p>
    <w:p>
      <w:pPr>
        <w:numPr>
          <w:ilvl w:val="0"/>
          <w:numId w:val="1005"/>
        </w:numPr>
        <w:pStyle w:val="Compact"/>
      </w:pPr>
      <w:r>
        <w:t xml:space="preserve">Mint - Corporate / NRI</w:t>
      </w:r>
    </w:p>
    <w:p>
      <w:pPr>
        <w:numPr>
          <w:ilvl w:val="0"/>
          <w:numId w:val="1005"/>
        </w:numPr>
        <w:pStyle w:val="Compact"/>
      </w:pPr>
      <w:r>
        <w:t xml:space="preserve">India Inc Group</w:t>
      </w:r>
    </w:p>
    <w:p>
      <w:pPr>
        <w:pStyle w:val="Heading3"/>
      </w:pPr>
      <w:bookmarkStart w:id="36" w:name="podcasts-and-youtube"/>
      <w:r>
        <w:t xml:space="preserve">Podcasts and YouTube</w:t>
      </w:r>
      <w:bookmarkEnd w:id="36"/>
    </w:p>
    <w:p>
      <w:pPr>
        <w:numPr>
          <w:ilvl w:val="0"/>
          <w:numId w:val="1006"/>
        </w:numPr>
        <w:pStyle w:val="Compact"/>
      </w:pPr>
      <w:r>
        <w:t xml:space="preserve">Kai Consulting GCC investor podcast</w:t>
      </w:r>
    </w:p>
    <w:p>
      <w:pPr>
        <w:numPr>
          <w:ilvl w:val="0"/>
          <w:numId w:val="1006"/>
        </w:numPr>
        <w:pStyle w:val="Compact"/>
      </w:pPr>
      <w:r>
        <w:t xml:space="preserve">Private Equity Middle East podcast</w:t>
      </w:r>
    </w:p>
    <w:p>
      <w:pPr>
        <w:numPr>
          <w:ilvl w:val="0"/>
          <w:numId w:val="1006"/>
        </w:numPr>
        <w:pStyle w:val="Compact"/>
      </w:pPr>
      <w:r>
        <w:t xml:space="preserve">MENA Business Podcast</w:t>
      </w:r>
    </w:p>
    <w:p>
      <w:pPr>
        <w:numPr>
          <w:ilvl w:val="0"/>
          <w:numId w:val="1006"/>
        </w:numPr>
        <w:pStyle w:val="Compact"/>
      </w:pPr>
      <w:r>
        <w:t xml:space="preserve">The Family Office Podcast (UK)</w:t>
      </w:r>
    </w:p>
    <w:p>
      <w:pPr>
        <w:numPr>
          <w:ilvl w:val="0"/>
          <w:numId w:val="1006"/>
        </w:numPr>
        <w:pStyle w:val="Compact"/>
      </w:pPr>
      <w:r>
        <w:t xml:space="preserve">Wealth Without Borders podcast</w:t>
      </w:r>
    </w:p>
    <w:p>
      <w:pPr>
        <w:pStyle w:val="Heading3"/>
      </w:pPr>
      <w:bookmarkStart w:id="37" w:name="academic"/>
      <w:r>
        <w:t xml:space="preserve">Academic</w:t>
      </w:r>
      <w:bookmarkEnd w:id="37"/>
    </w:p>
    <w:p>
      <w:pPr>
        <w:numPr>
          <w:ilvl w:val="0"/>
          <w:numId w:val="1007"/>
        </w:numPr>
        <w:pStyle w:val="Compact"/>
      </w:pPr>
      <w:r>
        <w:t xml:space="preserve">INSEAD Middle East Office</w:t>
      </w:r>
    </w:p>
    <w:p>
      <w:pPr>
        <w:numPr>
          <w:ilvl w:val="0"/>
          <w:numId w:val="1007"/>
        </w:numPr>
        <w:pStyle w:val="Compact"/>
      </w:pPr>
      <w:r>
        <w:t xml:space="preserve">Mohammed bin Rashid School of Government</w:t>
      </w:r>
    </w:p>
    <w:p>
      <w:pPr>
        <w:numPr>
          <w:ilvl w:val="0"/>
          <w:numId w:val="1007"/>
        </w:numPr>
        <w:pStyle w:val="Compact"/>
      </w:pPr>
      <w:r>
        <w:t xml:space="preserve">NYU Abu Dhabi</w:t>
      </w:r>
    </w:p>
    <w:p>
      <w:pPr>
        <w:numPr>
          <w:ilvl w:val="0"/>
          <w:numId w:val="1007"/>
        </w:numPr>
        <w:pStyle w:val="Compact"/>
      </w:pPr>
      <w:r>
        <w:t xml:space="preserve">Cambridge University MENA Research</w:t>
      </w:r>
    </w:p>
    <w:p>
      <w:pPr>
        <w:pStyle w:val="Heading3"/>
      </w:pPr>
      <w:bookmarkStart w:id="38" w:name="events"/>
      <w:r>
        <w:t xml:space="preserve">Events</w:t>
      </w:r>
      <w:bookmarkEnd w:id="38"/>
    </w:p>
    <w:p>
      <w:pPr>
        <w:numPr>
          <w:ilvl w:val="0"/>
          <w:numId w:val="1008"/>
        </w:numPr>
        <w:pStyle w:val="Compact"/>
      </w:pPr>
      <w:r>
        <w:t xml:space="preserve">DIFC Fintech Week</w:t>
      </w:r>
    </w:p>
    <w:p>
      <w:pPr>
        <w:numPr>
          <w:ilvl w:val="0"/>
          <w:numId w:val="1008"/>
        </w:numPr>
        <w:pStyle w:val="Compact"/>
      </w:pPr>
      <w:r>
        <w:t xml:space="preserve">ADGM Fintech Abu Dhabi</w:t>
      </w:r>
    </w:p>
    <w:p>
      <w:pPr>
        <w:numPr>
          <w:ilvl w:val="0"/>
          <w:numId w:val="1008"/>
        </w:numPr>
        <w:pStyle w:val="Compact"/>
      </w:pPr>
      <w:r>
        <w:t xml:space="preserve">Global Family Office Summit Dubai</w:t>
      </w:r>
    </w:p>
    <w:p>
      <w:pPr>
        <w:numPr>
          <w:ilvl w:val="0"/>
          <w:numId w:val="1008"/>
        </w:numPr>
        <w:pStyle w:val="Compact"/>
      </w:pPr>
      <w:r>
        <w:t xml:space="preserve">SuperReturn Middle East</w:t>
      </w:r>
    </w:p>
    <w:p>
      <w:pPr>
        <w:numPr>
          <w:ilvl w:val="0"/>
          <w:numId w:val="1008"/>
        </w:numPr>
        <w:pStyle w:val="Compact"/>
      </w:pPr>
      <w:r>
        <w:t xml:space="preserve">Hub71 Cohort days</w:t>
      </w:r>
    </w:p>
    <w:p>
      <w:pPr>
        <w:numPr>
          <w:ilvl w:val="0"/>
          <w:numId w:val="1008"/>
        </w:numPr>
        <w:pStyle w:val="Compact"/>
      </w:pPr>
      <w:r>
        <w:t xml:space="preserve">Dubai Fintech Summit</w:t>
      </w:r>
    </w:p>
    <w:p>
      <w:pPr>
        <w:pStyle w:val="Heading2"/>
      </w:pPr>
      <w:bookmarkStart w:id="39" w:name="success-metrics"/>
      <w:r>
        <w:t xml:space="preserve">Success metrics</w:t>
      </w:r>
      <w:bookmarkEnd w:id="39"/>
    </w:p>
    <w:p>
      <w:pPr>
        <w:pStyle w:val="FirstParagraph"/>
      </w:pPr>
      <w:r>
        <w:t xml:space="preserve">Track in Google Search Console &gt; Links &gt; External links:</w:t>
      </w:r>
      <w:r>
        <w:t xml:space="preserve"> </w:t>
      </w:r>
      <w:r>
        <w:t xml:space="preserve">- Before sending these: your current backlink count</w:t>
      </w:r>
      <w:r>
        <w:t xml:space="preserve"> </w:t>
      </w:r>
      <w:r>
        <w:t xml:space="preserve">- Target after 90 days: 10 to 20 new referring domains</w:t>
      </w:r>
      <w:r>
        <w:t xml:space="preserve"> </w:t>
      </w:r>
      <w:r>
        <w:t xml:space="preserve">- Target after 180 days: 30 to 50 new referring domains</w:t>
      </w:r>
    </w:p>
    <w:p>
      <w:pPr>
        <w:pStyle w:val="BodyText"/>
      </w:pPr>
      <w:r>
        <w:t xml:space="preserve">Each inbound link from a high-DR domain can lift rankings by 5 to 15 positions on long-tail queries within 30 days. Focus on quality (trade press, academic, partner links) over quantity (directory listings).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GCI Backlink Outreach Email Templates</dc:title>
  <dc:creator/>
  <cp:keywords/>
  <dcterms:created xsi:type="dcterms:W3CDTF">2026-04-24T21:12:44Z</dcterms:created>
  <dcterms:modified xsi:type="dcterms:W3CDTF">2026-04-24T21:12:44Z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