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GCI Competitor Battlecards (PRIVATE)</w:t>
      </w:r>
    </w:p>
    <w:p>
      <w:pPr>
        <w:pStyle w:val="Subtitle"/>
      </w:pPr>
      <w:r>
        <w:t xml:space="preserve">PRIVATE</w:t>
      </w:r>
      <w:r>
        <w:t xml:space="preserve"> </w:t>
      </w:r>
      <w:r>
        <w:t xml:space="preserve">INTERNAL</w:t>
      </w:r>
      <w:r>
        <w:t xml:space="preserve"> </w:t>
      </w:r>
      <w:r>
        <w:t xml:space="preserve">SALES</w:t>
      </w:r>
      <w:r>
        <w:t xml:space="preserve"> </w:t>
      </w:r>
      <w:r>
        <w:t xml:space="preserve">DOCUMENT</w:t>
      </w:r>
      <w:r>
        <w:t xml:space="preserve"> </w:t>
      </w:r>
      <w:r>
        <w:t xml:space="preserve">-</w:t>
      </w:r>
      <w:r>
        <w:t xml:space="preserve"> </w:t>
      </w:r>
      <w:r>
        <w:t xml:space="preserve">Do</w:t>
      </w:r>
      <w:r>
        <w:t xml:space="preserve"> </w:t>
      </w:r>
      <w:r>
        <w:t xml:space="preserve">not</w:t>
      </w:r>
      <w:r>
        <w:t xml:space="preserve"> </w:t>
      </w:r>
      <w:r>
        <w:t xml:space="preserve">share</w:t>
      </w:r>
      <w:r>
        <w:t xml:space="preserve"> </w:t>
      </w:r>
      <w:r>
        <w:t xml:space="preserve">externally</w:t>
      </w:r>
    </w:p>
    <w:p>
      <w:pPr>
        <w:pStyle w:val="Author"/>
      </w:pPr>
      <w:r>
        <w:t xml:space="preserve">Gulf</w:t>
      </w:r>
      <w:r>
        <w:t xml:space="preserve"> </w:t>
      </w:r>
      <w:r>
        <w:t xml:space="preserve">Capital</w:t>
      </w:r>
      <w:r>
        <w:t xml:space="preserve"> </w:t>
      </w:r>
      <w:r>
        <w:t xml:space="preserve">Intelligence</w:t>
      </w:r>
    </w:p>
    <w:p>
      <w:pPr>
        <w:pStyle w:val="Date"/>
      </w:pPr>
      <w:r>
        <w:t xml:space="preserve">24</w:t>
      </w:r>
      <w:r>
        <w:t xml:space="preserve"> </w:t>
      </w: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25ba43333dab6c5fbb104f10e8b2b4695569a27"/>
      <w:r>
        <w:t xml:space="preserve">GCI Competitor Battlecards - PRIVATE SALES DOCUMENT</w:t>
      </w:r>
      <w:bookmarkEnd w:id="20"/>
    </w:p>
    <w:p>
      <w:pPr>
        <w:pStyle w:val="FirstParagraph"/>
      </w:pPr>
      <w:r>
        <w:rPr>
          <w:b/>
        </w:rPr>
        <w:t xml:space="preserve">Classification:</w:t>
      </w:r>
      <w:r>
        <w:t xml:space="preserve"> </w:t>
      </w:r>
      <w:r>
        <w:t xml:space="preserve">INTERNAL ONLY</w:t>
      </w:r>
      <w:r>
        <w:br/>
      </w:r>
      <w:r>
        <w:rPr>
          <w:b/>
        </w:rPr>
        <w:t xml:space="preserve">Audience:</w:t>
      </w:r>
      <w:r>
        <w:t xml:space="preserve"> </w:t>
      </w:r>
      <w:r>
        <w:t xml:space="preserve">Hemant + any GCI sales team member</w:t>
      </w:r>
      <w:r>
        <w:br/>
      </w:r>
      <w:r>
        <w:rPr>
          <w:b/>
        </w:rPr>
        <w:t xml:space="preserve">Do NOT publish, share externally, or post on the public website.</w:t>
      </w:r>
    </w:p>
    <w:p>
      <w:pPr>
        <w:pStyle w:val="BodyText"/>
      </w:pPr>
      <w:r>
        <w:t xml:space="preserve">These battlecards help you handle the moment in a sales call when a prospect says:</w:t>
      </w:r>
      <w:r>
        <w:t xml:space="preserve"> </w:t>
      </w:r>
      <w:r>
        <w:t xml:space="preserve">“</w:t>
      </w:r>
      <w:r>
        <w:t xml:space="preserve">We are also evaluating [competitor].</w:t>
      </w:r>
      <w:r>
        <w:t xml:space="preserve">”</w:t>
      </w:r>
      <w:r>
        <w:t xml:space="preserve"> </w:t>
      </w:r>
      <w:r>
        <w:t xml:space="preserve">They are factual positioning documents, not attack pieces.</w:t>
      </w:r>
    </w:p>
    <w:p>
      <w:pPr>
        <w:pStyle w:val="Heading2"/>
      </w:pPr>
      <w:bookmarkStart w:id="21" w:name="contents"/>
      <w:r>
        <w:t xml:space="preserve">Contents</w:t>
      </w:r>
      <w:bookmarkEnd w:id="21"/>
    </w:p>
    <w:p>
      <w:pPr>
        <w:numPr>
          <w:ilvl w:val="0"/>
          <w:numId w:val="1001"/>
        </w:numPr>
        <w:pStyle w:val="Compact"/>
      </w:pPr>
      <w:hyperlink r:id="rId22">
        <w:r>
          <w:rPr>
            <w:rStyle w:val="Hyperlink"/>
          </w:rPr>
          <w:t xml:space="preserve">Transworld GCC Battlecard</w:t>
        </w:r>
      </w:hyperlink>
    </w:p>
    <w:p>
      <w:pPr>
        <w:numPr>
          <w:ilvl w:val="0"/>
          <w:numId w:val="1001"/>
        </w:numPr>
        <w:pStyle w:val="Compact"/>
      </w:pPr>
      <w:hyperlink r:id="rId23">
        <w:r>
          <w:rPr>
            <w:rStyle w:val="Hyperlink"/>
          </w:rPr>
          <w:t xml:space="preserve">Kuvera Consulting Battlecard</w:t>
        </w:r>
      </w:hyperlink>
    </w:p>
    <w:p>
      <w:pPr>
        <w:numPr>
          <w:ilvl w:val="0"/>
          <w:numId w:val="1001"/>
        </w:numPr>
        <w:pStyle w:val="Compact"/>
      </w:pPr>
      <w:hyperlink r:id="rId24">
        <w:r>
          <w:rPr>
            <w:rStyle w:val="Hyperlink"/>
          </w:rPr>
          <w:t xml:space="preserve">Credence &amp; Co. Battlecard</w:t>
        </w:r>
      </w:hyperlink>
    </w:p>
    <w:p>
      <w:pPr>
        <w:numPr>
          <w:ilvl w:val="0"/>
          <w:numId w:val="1001"/>
        </w:numPr>
        <w:pStyle w:val="Compact"/>
      </w:pPr>
      <w:hyperlink r:id="rId25">
        <w:r>
          <w:rPr>
            <w:rStyle w:val="Hyperlink"/>
          </w:rPr>
          <w:t xml:space="preserve">Charterhouse Partners Battlecard</w:t>
        </w:r>
      </w:hyperlink>
    </w:p>
    <w:p>
      <w:pPr>
        <w:numPr>
          <w:ilvl w:val="0"/>
          <w:numId w:val="1001"/>
        </w:numPr>
        <w:pStyle w:val="Compact"/>
      </w:pPr>
      <w:hyperlink r:id="rId26">
        <w:r>
          <w:rPr>
            <w:rStyle w:val="Hyperlink"/>
          </w:rPr>
          <w:t xml:space="preserve">Consolidated one-page quick reference</w:t>
        </w:r>
      </w:hyperlink>
    </w:p>
    <w:p>
      <w:pPr>
        <w:pStyle w:val="Heading2"/>
      </w:pPr>
      <w:bookmarkStart w:id="27" w:name="how-to-use"/>
      <w:r>
        <w:t xml:space="preserve">How to use</w:t>
      </w:r>
      <w:bookmarkEnd w:id="27"/>
    </w:p>
    <w:p>
      <w:pPr>
        <w:pStyle w:val="FirstParagraph"/>
      </w:pPr>
      <w:r>
        <w:rPr>
          <w:b/>
        </w:rPr>
        <w:t xml:space="preserve">Before a sales call where competitor is mentioned:</w:t>
      </w:r>
      <w:r>
        <w:t xml:space="preserve"> </w:t>
      </w:r>
      <w:r>
        <w:t xml:space="preserve">1. Open the relevant battlecard for 3 to 5 minutes</w:t>
      </w:r>
      <w:r>
        <w:t xml:space="preserve"> </w:t>
      </w:r>
      <w:r>
        <w:t xml:space="preserve">2. Identify the strongest 2 talking points for GCI vs that specific competitor</w:t>
      </w:r>
      <w:r>
        <w:t xml:space="preserve"> </w:t>
      </w:r>
      <w:r>
        <w:t xml:space="preserve">3. Have the top 3 objection responses ready</w:t>
      </w:r>
    </w:p>
    <w:p>
      <w:pPr>
        <w:pStyle w:val="BodyText"/>
      </w:pPr>
      <w:r>
        <w:rPr>
          <w:b/>
        </w:rPr>
        <w:t xml:space="preserve">During the call:</w:t>
      </w:r>
      <w:r>
        <w:t xml:space="preserve"> </w:t>
      </w:r>
      <w:r>
        <w:t xml:space="preserve">- If prospect mentions the competitor unprompted, do NOT disparage. Acknowledge the competitor’s strengths first, then shift to where GCI is differentiated.</w:t>
      </w:r>
      <w:r>
        <w:t xml:space="preserve"> </w:t>
      </w:r>
      <w:r>
        <w:t xml:space="preserve">- Use facts from the battlecard, not opinions. Every claim should be sourceable.</w:t>
      </w:r>
      <w:r>
        <w:t xml:space="preserve"> </w:t>
      </w:r>
      <w:r>
        <w:t xml:space="preserve">- Never repeat competitor claims you can’t verify. That creates legal risk.</w:t>
      </w:r>
    </w:p>
    <w:p>
      <w:pPr>
        <w:pStyle w:val="BodyText"/>
      </w:pPr>
      <w:r>
        <w:rPr>
          <w:b/>
        </w:rPr>
        <w:t xml:space="preserve">After the call:</w:t>
      </w:r>
      <w:r>
        <w:t xml:space="preserve"> </w:t>
      </w:r>
      <w:r>
        <w:t xml:space="preserve">- Update the battlecard with any new intel you learned</w:t>
      </w:r>
      <w:r>
        <w:t xml:space="preserve"> </w:t>
      </w:r>
      <w:r>
        <w:t xml:space="preserve">- If prospect shared competitor pricing, update the Pricing section</w:t>
      </w:r>
      <w:r>
        <w:t xml:space="preserve"> </w:t>
      </w:r>
      <w:r>
        <w:t xml:space="preserve">- Log outcome (won, lost, pending) for this-competitor-vs-GCI scorecard</w:t>
      </w:r>
    </w:p>
    <w:p>
      <w:pPr>
        <w:pStyle w:val="Heading2"/>
      </w:pPr>
      <w:bookmarkStart w:id="28" w:name="sourcing-notes"/>
      <w:r>
        <w:t xml:space="preserve">Sourcing notes</w:t>
      </w:r>
      <w:bookmarkEnd w:id="28"/>
    </w:p>
    <w:p>
      <w:pPr>
        <w:pStyle w:val="FirstParagraph"/>
      </w:pPr>
      <w:r>
        <w:t xml:space="preserve">All information in these battlecards is from public sources as of April 2026:</w:t>
      </w:r>
      <w:r>
        <w:t xml:space="preserve"> </w:t>
      </w:r>
      <w:r>
        <w:t xml:space="preserve">- Each competitor’s website</w:t>
      </w:r>
      <w:r>
        <w:t xml:space="preserve"> </w:t>
      </w:r>
      <w:r>
        <w:t xml:space="preserve">- LinkedIn company page</w:t>
      </w:r>
      <w:r>
        <w:t xml:space="preserve"> </w:t>
      </w:r>
      <w:r>
        <w:t xml:space="preserve">- Public news coverage</w:t>
      </w:r>
      <w:r>
        <w:t xml:space="preserve"> </w:t>
      </w:r>
      <w:r>
        <w:t xml:space="preserve">- Perplexity and AI search results when queried for</w:t>
      </w:r>
      <w:r>
        <w:t xml:space="preserve"> </w:t>
      </w:r>
      <w:r>
        <w:t xml:space="preserve">“</w:t>
      </w:r>
      <w:r>
        <w:t xml:space="preserve">GCC investment due diligence</w:t>
      </w:r>
      <w:r>
        <w:t xml:space="preserve">”</w:t>
      </w:r>
      <w:r>
        <w:t xml:space="preserve"> </w:t>
      </w:r>
      <w:r>
        <w:t xml:space="preserve">- GCC finance trade press mentions</w:t>
      </w:r>
    </w:p>
    <w:p>
      <w:pPr>
        <w:pStyle w:val="BodyText"/>
      </w:pPr>
      <w:r>
        <w:rPr>
          <w:b/>
        </w:rPr>
        <w:t xml:space="preserve">No information is from RFPs, client disclosures, or insider access.</w:t>
      </w:r>
      <w:r>
        <w:t xml:space="preserve"> </w:t>
      </w:r>
      <w:r>
        <w:t xml:space="preserve">If you want to deepen any battlecard, the next step is to gather real deal intel from clients who have evaluated both firms.</w:t>
      </w:r>
    </w:p>
    <w:p>
      <w:pPr>
        <w:pStyle w:val="Heading2"/>
      </w:pPr>
      <w:bookmarkStart w:id="29" w:name="update-cadence"/>
      <w:r>
        <w:t xml:space="preserve">Update cadence</w:t>
      </w:r>
      <w:bookmarkEnd w:id="29"/>
    </w:p>
    <w:p>
      <w:pPr>
        <w:pStyle w:val="FirstParagraph"/>
      </w:pPr>
      <w:r>
        <w:t xml:space="preserve">Review and refresh every 90 days, or sooner if:</w:t>
      </w:r>
      <w:r>
        <w:t xml:space="preserve"> </w:t>
      </w:r>
      <w:r>
        <w:t xml:space="preserve">- Competitor announces major new product or pricing</w:t>
      </w:r>
      <w:r>
        <w:t xml:space="preserve"> </w:t>
      </w:r>
      <w:r>
        <w:t xml:space="preserve">- New competitor emerges (add fifth battlecard if relevant)</w:t>
      </w:r>
      <w:r>
        <w:t xml:space="preserve"> </w:t>
      </w:r>
      <w:r>
        <w:t xml:space="preserve">- GCI wins or loses a specific deal against them (log the specifics)</w:t>
      </w:r>
    </w:p>
    <w:p>
      <w:pPr>
        <w:pStyle w:val="BodyText"/>
      </w:pPr>
      <w:r>
        <w:t xml:space="preserve">Last updated: 2026-04-24</w:t>
      </w:r>
    </w:p>
    <w:p>
      <w:pPr>
        <w:pStyle w:val="Heading1"/>
      </w:pPr>
      <w:bookmarkStart w:id="30" w:name="gci-competitor-quick-reference-one-pager"/>
      <w:r>
        <w:t xml:space="preserve">GCI Competitor Quick Reference (One-Pager)</w:t>
      </w:r>
      <w:bookmarkEnd w:id="30"/>
    </w:p>
    <w:p>
      <w:pPr>
        <w:pStyle w:val="FirstParagraph"/>
      </w:pPr>
      <w:r>
        <w:rPr>
          <w:b/>
        </w:rPr>
        <w:t xml:space="preserve">PRIVATE - Do not share externally</w:t>
      </w:r>
    </w:p>
    <w:p>
      <w:pPr>
        <w:pStyle w:val="BodyText"/>
      </w:pPr>
      <w:r>
        <w:t xml:space="preserve">Print this one page. Keep it next to your laptop during any sales call.</w:t>
      </w:r>
    </w:p>
    <w:p>
      <w:pPr>
        <w:pStyle w:val="Heading2"/>
      </w:pPr>
      <w:bookmarkStart w:id="31" w:name="the-core-positioning-line-memorise-this"/>
      <w:r>
        <w:t xml:space="preserve">The core positioning line (memorise this)</w:t>
      </w:r>
      <w:bookmarkEnd w:id="31"/>
    </w:p>
    <w:p>
      <w:pPr>
        <w:pStyle w:val="FirstParagraph"/>
      </w:pPr>
      <w:r>
        <w:t xml:space="preserve">“</w:t>
      </w:r>
      <w:r>
        <w:t xml:space="preserve">GCI is the intelligence layer between raw data and a committed decision. Between McKinsey and ChatGPT. DIFC-registered. 5-stage pipeline. 3 AI engines. 5-tier evidence. Verdict in 3 to 5 days.</w:t>
      </w:r>
      <w:r>
        <w:t xml:space="preserve">”</w:t>
      </w:r>
    </w:p>
    <w:p>
      <w:pPr>
        <w:pStyle w:val="Heading2"/>
      </w:pPr>
      <w:bookmarkStart w:id="32" w:name="when-a-prospect-mentions-a-competitor"/>
      <w:r>
        <w:t xml:space="preserve">When a prospect mentions a competitor</w:t>
      </w:r>
      <w:bookmarkEnd w:id="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Competitor</w:t>
            </w:r>
          </w:p>
        </w:tc>
        <w:tc>
          <w:tcPr>
            <w:tcBorders>
              <w:bottom w:val="single"/>
            </w:tcBorders>
            <w:vAlign w:val="bottom"/>
          </w:tcPr>
          <w:p>
            <w:pPr>
              <w:pStyle w:val="Compact"/>
              <w:jc w:val="left"/>
            </w:pPr>
            <w:r>
              <w:t xml:space="preserve">Their Tier</w:t>
            </w:r>
          </w:p>
        </w:tc>
        <w:tc>
          <w:tcPr>
            <w:tcBorders>
              <w:bottom w:val="single"/>
            </w:tcBorders>
            <w:vAlign w:val="bottom"/>
          </w:tcPr>
          <w:p>
            <w:pPr>
              <w:pStyle w:val="Compact"/>
              <w:jc w:val="left"/>
            </w:pPr>
            <w:r>
              <w:t xml:space="preserve">GCI Differentiator (say this)</w:t>
            </w:r>
          </w:p>
        </w:tc>
      </w:tr>
      <w:tr>
        <w:tc>
          <w:p>
            <w:pPr>
              <w:pStyle w:val="Compact"/>
              <w:jc w:val="left"/>
            </w:pPr>
            <w:r>
              <w:t xml:space="preserve">Transworld GCC</w:t>
            </w:r>
          </w:p>
        </w:tc>
        <w:tc>
          <w:p>
            <w:pPr>
              <w:pStyle w:val="Compact"/>
              <w:jc w:val="left"/>
            </w:pPr>
            <w:r>
              <w:t xml:space="preserve">Business broker, SMB transactions</w:t>
            </w:r>
          </w:p>
        </w:tc>
        <w:tc>
          <w:p>
            <w:pPr>
              <w:pStyle w:val="Compact"/>
              <w:jc w:val="left"/>
            </w:pPr>
            <w:r>
              <w:t xml:space="preserve">“</w:t>
            </w:r>
            <w:r>
              <w:t xml:space="preserve">They find deals. We tell you whether to do them. Different jobs.</w:t>
            </w:r>
            <w:r>
              <w:t xml:space="preserve">”</w:t>
            </w:r>
          </w:p>
        </w:tc>
      </w:tr>
      <w:tr>
        <w:tc>
          <w:p>
            <w:pPr>
              <w:pStyle w:val="Compact"/>
              <w:jc w:val="left"/>
            </w:pPr>
            <w:r>
              <w:t xml:space="preserve">Kuvera Consulting</w:t>
            </w:r>
          </w:p>
        </w:tc>
        <w:tc>
          <w:p>
            <w:pPr>
              <w:pStyle w:val="Compact"/>
              <w:jc w:val="left"/>
            </w:pPr>
            <w:r>
              <w:t xml:space="preserve">Big-4 style FDD+CDD, USD 60-300K/deal</w:t>
            </w:r>
          </w:p>
        </w:tc>
        <w:tc>
          <w:p>
            <w:pPr>
              <w:pStyle w:val="Compact"/>
              <w:jc w:val="left"/>
            </w:pPr>
            <w:r>
              <w:t xml:space="preserve">“</w:t>
            </w:r>
            <w:r>
              <w:t xml:space="preserve">50x cost, 15x faster. Different tier. We complement them.</w:t>
            </w:r>
            <w:r>
              <w:t xml:space="preserve">”</w:t>
            </w:r>
          </w:p>
        </w:tc>
      </w:tr>
      <w:tr>
        <w:tc>
          <w:p>
            <w:pPr>
              <w:pStyle w:val="Compact"/>
              <w:jc w:val="left"/>
            </w:pPr>
            <w:r>
              <w:t xml:space="preserve">Credence &amp; Co.</w:t>
            </w:r>
          </w:p>
        </w:tc>
        <w:tc>
          <w:p>
            <w:pPr>
              <w:pStyle w:val="Compact"/>
              <w:jc w:val="left"/>
            </w:pPr>
            <w:r>
              <w:t xml:space="preserve">Boutique financial DD, USD 40-120K/deal</w:t>
            </w:r>
          </w:p>
        </w:tc>
        <w:tc>
          <w:p>
            <w:pPr>
              <w:pStyle w:val="Compact"/>
              <w:jc w:val="left"/>
            </w:pPr>
            <w:r>
              <w:t xml:space="preserve">“</w:t>
            </w:r>
            <w:r>
              <w:t xml:space="preserve">They check financials. We pressure-test the thesis. Both matter.</w:t>
            </w:r>
            <w:r>
              <w:t xml:space="preserve">”</w:t>
            </w:r>
          </w:p>
        </w:tc>
      </w:tr>
      <w:tr>
        <w:tc>
          <w:p>
            <w:pPr>
              <w:pStyle w:val="Compact"/>
              <w:jc w:val="left"/>
            </w:pPr>
            <w:r>
              <w:t xml:space="preserve">Charterhouse Partners</w:t>
            </w:r>
          </w:p>
        </w:tc>
        <w:tc>
          <w:p>
            <w:pPr>
              <w:pStyle w:val="Compact"/>
              <w:jc w:val="left"/>
            </w:pPr>
            <w:r>
              <w:t xml:space="preserve">Executive search + advisory</w:t>
            </w:r>
          </w:p>
        </w:tc>
        <w:tc>
          <w:p>
            <w:pPr>
              <w:pStyle w:val="Compact"/>
              <w:jc w:val="left"/>
            </w:pPr>
            <w:r>
              <w:t xml:space="preserve">“</w:t>
            </w:r>
            <w:r>
              <w:t xml:space="preserve">They find your CIO. We give the CIO a tool. Complement not competitor.</w:t>
            </w:r>
            <w:r>
              <w:t xml:space="preserve">”</w:t>
            </w:r>
          </w:p>
        </w:tc>
      </w:tr>
    </w:tbl>
    <w:p>
      <w:pPr>
        <w:pStyle w:val="Heading2"/>
      </w:pPr>
      <w:bookmarkStart w:id="33" w:name="gci-pricing-vs-market"/>
      <w:r>
        <w:t xml:space="preserve">GCI pricing vs market</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GCI</w:t>
            </w:r>
          </w:p>
        </w:tc>
        <w:tc>
          <w:tcPr>
            <w:tcBorders>
              <w:bottom w:val="single"/>
            </w:tcBorders>
            <w:vAlign w:val="bottom"/>
          </w:tcPr>
          <w:p>
            <w:pPr>
              <w:pStyle w:val="Compact"/>
              <w:jc w:val="left"/>
            </w:pPr>
            <w:r>
              <w:t xml:space="preserve">Traditional Equivalent</w:t>
            </w:r>
          </w:p>
        </w:tc>
      </w:tr>
      <w:tr>
        <w:tc>
          <w:p>
            <w:pPr>
              <w:pStyle w:val="Compact"/>
              <w:jc w:val="left"/>
            </w:pPr>
            <w:r>
              <w:t xml:space="preserve">Single Conviction Report</w:t>
            </w:r>
          </w:p>
        </w:tc>
        <w:tc>
          <w:p>
            <w:pPr>
              <w:pStyle w:val="Compact"/>
              <w:jc w:val="left"/>
            </w:pPr>
            <w:r>
              <w:t xml:space="preserve">USD 499</w:t>
            </w:r>
          </w:p>
        </w:tc>
        <w:tc>
          <w:p>
            <w:pPr>
              <w:pStyle w:val="Compact"/>
              <w:jc w:val="left"/>
            </w:pPr>
            <w:r>
              <w:t xml:space="preserve">USD 30,000 to USD 80,000 FDD</w:t>
            </w:r>
          </w:p>
        </w:tc>
      </w:tr>
      <w:tr>
        <w:tc>
          <w:p>
            <w:pPr>
              <w:pStyle w:val="Compact"/>
              <w:jc w:val="left"/>
            </w:pPr>
            <w:r>
              <w:t xml:space="preserve">DD Access (5 reports/mo)</w:t>
            </w:r>
          </w:p>
        </w:tc>
        <w:tc>
          <w:p>
            <w:pPr>
              <w:pStyle w:val="Compact"/>
              <w:jc w:val="left"/>
            </w:pPr>
            <w:r>
              <w:t xml:space="preserve">USD 999/mo</w:t>
            </w:r>
          </w:p>
        </w:tc>
        <w:tc>
          <w:p>
            <w:pPr>
              <w:pStyle w:val="Compact"/>
              <w:jc w:val="left"/>
            </w:pPr>
            <w:r>
              <w:t xml:space="preserve">USD 150,000 to USD 400,000/yr</w:t>
            </w:r>
          </w:p>
        </w:tc>
      </w:tr>
      <w:tr>
        <w:tc>
          <w:p>
            <w:pPr>
              <w:pStyle w:val="Compact"/>
              <w:jc w:val="left"/>
            </w:pPr>
            <w:r>
              <w:t xml:space="preserve">Retainer (unlimited)</w:t>
            </w:r>
          </w:p>
        </w:tc>
        <w:tc>
          <w:p>
            <w:pPr>
              <w:pStyle w:val="Compact"/>
              <w:jc w:val="left"/>
            </w:pPr>
            <w:r>
              <w:t xml:space="preserve">USD 2,499/mo</w:t>
            </w:r>
          </w:p>
        </w:tc>
        <w:tc>
          <w:p>
            <w:pPr>
              <w:pStyle w:val="Compact"/>
              <w:jc w:val="left"/>
            </w:pPr>
            <w:r>
              <w:t xml:space="preserve">USD 300,000 to USD 800,000/yr</w:t>
            </w:r>
          </w:p>
        </w:tc>
      </w:tr>
      <w:tr>
        <w:tc>
          <w:p>
            <w:pPr>
              <w:pStyle w:val="Compact"/>
              <w:jc w:val="left"/>
            </w:pPr>
            <w:r>
              <w:t xml:space="preserve">Enterprise</w:t>
            </w:r>
          </w:p>
        </w:tc>
        <w:tc>
          <w:p>
            <w:pPr>
              <w:pStyle w:val="Compact"/>
              <w:jc w:val="left"/>
            </w:pPr>
            <w:r>
              <w:t xml:space="preserve">USD 5,000+/mo</w:t>
            </w:r>
          </w:p>
        </w:tc>
        <w:tc>
          <w:p>
            <w:pPr>
              <w:pStyle w:val="Compact"/>
              <w:jc w:val="left"/>
            </w:pPr>
            <w:r>
              <w:t xml:space="preserve">USD 500,000+/yr</w:t>
            </w:r>
          </w:p>
        </w:tc>
      </w:tr>
    </w:tbl>
    <w:p>
      <w:pPr>
        <w:pStyle w:val="Heading2"/>
      </w:pPr>
      <w:bookmarkStart w:id="34" w:name="Xcb0ec63a24c43c386d612b3150f65ec6037d874"/>
      <w:r>
        <w:t xml:space="preserve">Top 3 GCI proof points to drop in any sales call</w:t>
      </w:r>
      <w:bookmarkEnd w:id="34"/>
    </w:p>
    <w:p>
      <w:pPr>
        <w:numPr>
          <w:ilvl w:val="0"/>
          <w:numId w:val="1002"/>
        </w:numPr>
        <w:pStyle w:val="Compact"/>
      </w:pPr>
      <w:r>
        <w:rPr>
          <w:b/>
        </w:rPr>
        <w:t xml:space="preserve">“</w:t>
      </w:r>
      <w:r>
        <w:rPr>
          <w:b/>
        </w:rPr>
        <w:t xml:space="preserve">DIFC-registered. Trade Licence CL11954.</w:t>
      </w:r>
      <w:r>
        <w:rPr>
          <w:b/>
        </w:rPr>
        <w:t xml:space="preserve">”</w:t>
      </w:r>
      <w:r>
        <w:t xml:space="preserve"> </w:t>
      </w:r>
      <w:r>
        <w:t xml:space="preserve">Establishes regulatory legitimacy.</w:t>
      </w:r>
    </w:p>
    <w:p>
      <w:pPr>
        <w:numPr>
          <w:ilvl w:val="0"/>
          <w:numId w:val="1002"/>
        </w:numPr>
        <w:pStyle w:val="Compact"/>
      </w:pPr>
      <w:r>
        <w:rPr>
          <w:b/>
        </w:rPr>
        <w:t xml:space="preserve">“</w:t>
      </w:r>
      <w:r>
        <w:rPr>
          <w:b/>
        </w:rPr>
        <w:t xml:space="preserve">Three AI engines cross-check. Evidence-tiered in five levels.</w:t>
      </w:r>
      <w:r>
        <w:rPr>
          <w:b/>
        </w:rPr>
        <w:t xml:space="preserve">”</w:t>
      </w:r>
      <w:r>
        <w:t xml:space="preserve"> </w:t>
      </w:r>
      <w:r>
        <w:t xml:space="preserve">Establishes methodology rigour.</w:t>
      </w:r>
    </w:p>
    <w:p>
      <w:pPr>
        <w:numPr>
          <w:ilvl w:val="0"/>
          <w:numId w:val="1002"/>
        </w:numPr>
        <w:pStyle w:val="Compact"/>
      </w:pPr>
      <w:r>
        <w:rPr>
          <w:b/>
        </w:rPr>
        <w:t xml:space="preserve">“</w:t>
      </w:r>
      <w:r>
        <w:rPr>
          <w:b/>
        </w:rPr>
        <w:t xml:space="preserve">Already cited by name in Perplexity for</w:t>
      </w:r>
      <w:r>
        <w:rPr>
          <w:b/>
        </w:rPr>
        <w:t xml:space="preserve"> </w:t>
      </w:r>
      <w:r>
        <w:rPr>
          <w:b/>
        </w:rPr>
        <w:t xml:space="preserve">‘</w:t>
      </w:r>
      <w:r>
        <w:rPr>
          <w:b/>
        </w:rPr>
        <w:t xml:space="preserve">GCC investment due diligence Dubai DIFC</w:t>
      </w:r>
      <w:r>
        <w:rPr>
          <w:b/>
        </w:rPr>
        <w:t xml:space="preserve">’</w:t>
      </w:r>
      <w:r>
        <w:rPr>
          <w:b/>
        </w:rPr>
        <w:t xml:space="preserve"> </w:t>
      </w:r>
      <w:r>
        <w:rPr>
          <w:b/>
        </w:rPr>
        <w:t xml:space="preserve">queries.</w:t>
      </w:r>
      <w:r>
        <w:rPr>
          <w:b/>
        </w:rPr>
        <w:t xml:space="preserve">”</w:t>
      </w:r>
      <w:r>
        <w:t xml:space="preserve"> </w:t>
      </w:r>
      <w:r>
        <w:t xml:space="preserve">Establishes AI-visible authority.</w:t>
      </w:r>
    </w:p>
    <w:p>
      <w:pPr>
        <w:pStyle w:val="Heading2"/>
      </w:pPr>
      <w:bookmarkStart w:id="35" w:name="top-3-common-objections"/>
      <w:r>
        <w:t xml:space="preserve">Top 3 common objections</w:t>
      </w:r>
      <w:bookmarkEnd w:id="35"/>
    </w:p>
    <w:p>
      <w:pPr>
        <w:pStyle w:val="FirstParagraph"/>
      </w:pPr>
      <w:r>
        <w:rPr>
          <w:b/>
        </w:rPr>
        <w:t xml:space="preserve">“</w:t>
      </w:r>
      <w:r>
        <w:rPr>
          <w:b/>
        </w:rPr>
        <w:t xml:space="preserve">You’re new.</w:t>
      </w:r>
      <w:r>
        <w:rPr>
          <w:b/>
        </w:rPr>
        <w:t xml:space="preserve">”</w:t>
      </w:r>
      <w:r>
        <w:br/>
      </w:r>
      <w:r>
        <w:rPr>
          <w:i/>
        </w:rPr>
        <w:t xml:space="preserve">Response:</w:t>
      </w:r>
      <w:r>
        <w:t xml:space="preserve"> </w:t>
      </w:r>
      <w:r>
        <w:t xml:space="preserve">“</w:t>
      </w:r>
      <w:r>
        <w:t xml:space="preserve">Founded recently, yes. But based on a decade of operational experience in UAE businesses. Our founder built this after advising in healthcare, hospitality, real estate, professional services, and F&amp;B. Not a finance person with no operator experience.</w:t>
      </w:r>
      <w:r>
        <w:t xml:space="preserve">”</w:t>
      </w:r>
    </w:p>
    <w:p>
      <w:pPr>
        <w:pStyle w:val="BodyText"/>
      </w:pPr>
      <w:r>
        <w:rPr>
          <w:b/>
        </w:rPr>
        <w:t xml:space="preserve">“</w:t>
      </w:r>
      <w:r>
        <w:rPr>
          <w:b/>
        </w:rPr>
        <w:t xml:space="preserve">We need institutional-grade.</w:t>
      </w:r>
      <w:r>
        <w:rPr>
          <w:b/>
        </w:rPr>
        <w:t xml:space="preserve">”</w:t>
      </w:r>
      <w:r>
        <w:br/>
      </w:r>
      <w:r>
        <w:rPr>
          <w:i/>
        </w:rPr>
        <w:t xml:space="preserve">Response:</w:t>
      </w:r>
      <w:r>
        <w:t xml:space="preserve"> </w:t>
      </w:r>
      <w:r>
        <w:t xml:space="preserve">“</w:t>
      </w:r>
      <w:r>
        <w:t xml:space="preserve">Good. Our methodology is public at /methodology.html and modelled on the evidence-tiering approach used by central bank analytical teams. Ask any traditional firm to show theirs.</w:t>
      </w:r>
      <w:r>
        <w:t xml:space="preserve">”</w:t>
      </w:r>
    </w:p>
    <w:p>
      <w:pPr>
        <w:pStyle w:val="BodyText"/>
      </w:pPr>
      <w:r>
        <w:rPr>
          <w:b/>
        </w:rPr>
        <w:t xml:space="preserve">“</w:t>
      </w:r>
      <w:r>
        <w:rPr>
          <w:b/>
        </w:rPr>
        <w:t xml:space="preserve">Why should we trust AI analysis?</w:t>
      </w:r>
      <w:r>
        <w:rPr>
          <w:b/>
        </w:rPr>
        <w:t xml:space="preserve">”</w:t>
      </w:r>
      <w:r>
        <w:br/>
      </w:r>
      <w:r>
        <w:rPr>
          <w:i/>
        </w:rPr>
        <w:t xml:space="preserve">Response:</w:t>
      </w:r>
      <w:r>
        <w:t xml:space="preserve"> </w:t>
      </w:r>
      <w:r>
        <w:t xml:space="preserve">“</w:t>
      </w:r>
      <w:r>
        <w:t xml:space="preserve">Every claim carries an evidence tier. VERIFIED means independently confirmed. REPORTED means cited to a specific external source. STATED means seller-supplied. ESTIMATED means modelled by us. ASSUMED means we made an assumption you can challenge. This is the most transparent AI-assisted analysis you’ll see anywhere in GCC.</w:t>
      </w:r>
      <w:r>
        <w:t xml:space="preserve">”</w:t>
      </w:r>
    </w:p>
    <w:p>
      <w:pPr>
        <w:pStyle w:val="Heading2"/>
      </w:pPr>
      <w:bookmarkStart w:id="36" w:name="the-close"/>
      <w:r>
        <w:t xml:space="preserve">The close</w:t>
      </w:r>
      <w:bookmarkEnd w:id="36"/>
    </w:p>
    <w:p>
      <w:pPr>
        <w:pStyle w:val="FirstParagraph"/>
      </w:pPr>
      <w:r>
        <w:t xml:space="preserve">“</w:t>
      </w:r>
      <w:r>
        <w:t xml:space="preserve">Our Free Deal Health Score takes 5 minutes. Start with that: https://gulfcapitalintelligence.com/deal-health-score.html. If the output is useful, a full Conviction Report on that same deal is USD 499 and arrives in 3 to 5 days. No commitment beyond that. Most family offices start there.</w:t>
      </w:r>
      <w:r>
        <w:t xml:space="preserve">”</w:t>
      </w:r>
    </w:p>
    <w:p>
      <w:pPr>
        <w:pStyle w:val="Heading2"/>
      </w:pPr>
      <w:bookmarkStart w:id="37" w:name="internal-only-notes"/>
      <w:r>
        <w:t xml:space="preserve">Internal only notes</w:t>
      </w:r>
      <w:bookmarkEnd w:id="37"/>
    </w:p>
    <w:p>
      <w:pPr>
        <w:numPr>
          <w:ilvl w:val="0"/>
          <w:numId w:val="1003"/>
        </w:numPr>
        <w:pStyle w:val="Compact"/>
      </w:pPr>
      <w:r>
        <w:t xml:space="preserve">Do NOT name competitors publicly on the website</w:t>
      </w:r>
    </w:p>
    <w:p>
      <w:pPr>
        <w:numPr>
          <w:ilvl w:val="0"/>
          <w:numId w:val="1003"/>
        </w:numPr>
        <w:pStyle w:val="Compact"/>
      </w:pPr>
      <w:r>
        <w:t xml:space="preserve">Do NOT disparage competitors in any written communication (email, social)</w:t>
      </w:r>
    </w:p>
    <w:p>
      <w:pPr>
        <w:numPr>
          <w:ilvl w:val="0"/>
          <w:numId w:val="1003"/>
        </w:numPr>
        <w:pStyle w:val="Compact"/>
      </w:pPr>
      <w:r>
        <w:t xml:space="preserve">Do keep this battlecard updated every 90 days</w:t>
      </w:r>
    </w:p>
    <w:p>
      <w:pPr>
        <w:numPr>
          <w:ilvl w:val="0"/>
          <w:numId w:val="1003"/>
        </w:numPr>
        <w:pStyle w:val="Compact"/>
      </w:pPr>
      <w:r>
        <w:t xml:space="preserve">Log wins and losses against each competitor for pattern recognition</w:t>
      </w:r>
    </w:p>
    <w:p>
      <w:pPr>
        <w:pStyle w:val="Heading1"/>
      </w:pPr>
      <w:bookmarkStart w:id="38" w:name="battlecard-01-transworld-gcc"/>
      <w:r>
        <w:t xml:space="preserve">Battlecard 01: Transworld GCC</w:t>
      </w:r>
      <w:bookmarkEnd w:id="38"/>
    </w:p>
    <w:p>
      <w:pPr>
        <w:pStyle w:val="FirstParagraph"/>
      </w:pPr>
      <w:r>
        <w:rPr>
          <w:b/>
        </w:rPr>
        <w:t xml:space="preserve">Last updated:</w:t>
      </w:r>
      <w:r>
        <w:t xml:space="preserve"> </w:t>
      </w:r>
      <w:r>
        <w:t xml:space="preserve">2026-04-24</w:t>
      </w:r>
      <w:r>
        <w:br/>
      </w:r>
      <w:r>
        <w:rPr>
          <w:b/>
        </w:rPr>
        <w:t xml:space="preserve">Classification:</w:t>
      </w:r>
      <w:r>
        <w:t xml:space="preserve"> </w:t>
      </w:r>
      <w:r>
        <w:t xml:space="preserve">INTERNAL ONLY</w:t>
      </w:r>
    </w:p>
    <w:p>
      <w:pPr>
        <w:pStyle w:val="Heading2"/>
      </w:pPr>
      <w:bookmarkStart w:id="39" w:name="who-they-are"/>
      <w:r>
        <w:t xml:space="preserve">Who they are</w:t>
      </w:r>
      <w:bookmarkEnd w:id="39"/>
    </w:p>
    <w:p>
      <w:pPr>
        <w:pStyle w:val="FirstParagraph"/>
      </w:pPr>
      <w:r>
        <w:t xml:space="preserve">Transworld is a well-established international business brokerage with a GCC franchise operating primarily from Dubai. They position as M&amp;A transaction support, business for sale matching, and transaction due diligence for SMB and mid-market deals.</w:t>
      </w:r>
    </w:p>
    <w:p>
      <w:pPr>
        <w:pStyle w:val="Heading2"/>
      </w:pPr>
      <w:bookmarkStart w:id="40" w:name="what-they-offer"/>
      <w:r>
        <w:t xml:space="preserve">What they offer</w:t>
      </w:r>
      <w:bookmarkEnd w:id="40"/>
    </w:p>
    <w:p>
      <w:pPr>
        <w:numPr>
          <w:ilvl w:val="0"/>
          <w:numId w:val="1004"/>
        </w:numPr>
        <w:pStyle w:val="Compact"/>
      </w:pPr>
      <w:r>
        <w:t xml:space="preserve">Business for sale listings and matching (buy-side and sell-side)</w:t>
      </w:r>
    </w:p>
    <w:p>
      <w:pPr>
        <w:numPr>
          <w:ilvl w:val="0"/>
          <w:numId w:val="1004"/>
        </w:numPr>
        <w:pStyle w:val="Compact"/>
      </w:pPr>
      <w:r>
        <w:t xml:space="preserve">Transaction due diligence on operating businesses</w:t>
      </w:r>
    </w:p>
    <w:p>
      <w:pPr>
        <w:numPr>
          <w:ilvl w:val="0"/>
          <w:numId w:val="1004"/>
        </w:numPr>
        <w:pStyle w:val="Compact"/>
      </w:pPr>
      <w:r>
        <w:t xml:space="preserve">Valuation services for SMB and lower mid-market</w:t>
      </w:r>
    </w:p>
    <w:p>
      <w:pPr>
        <w:numPr>
          <w:ilvl w:val="0"/>
          <w:numId w:val="1004"/>
        </w:numPr>
        <w:pStyle w:val="Compact"/>
      </w:pPr>
      <w:r>
        <w:t xml:space="preserve">M&amp;A support for specific industry verticals (hospitality, F&amp;B, services)</w:t>
      </w:r>
    </w:p>
    <w:p>
      <w:pPr>
        <w:numPr>
          <w:ilvl w:val="0"/>
          <w:numId w:val="1004"/>
        </w:numPr>
        <w:pStyle w:val="Compact"/>
      </w:pPr>
      <w:r>
        <w:t xml:space="preserve">Cross-border GCC transaction support</w:t>
      </w:r>
    </w:p>
    <w:p>
      <w:pPr>
        <w:pStyle w:val="Heading2"/>
      </w:pPr>
      <w:bookmarkStart w:id="41" w:name="typical-engagement"/>
      <w:r>
        <w:t xml:space="preserve">Typical engagement</w:t>
      </w:r>
      <w:bookmarkEnd w:id="41"/>
    </w:p>
    <w:p>
      <w:pPr>
        <w:numPr>
          <w:ilvl w:val="0"/>
          <w:numId w:val="1005"/>
        </w:numPr>
        <w:pStyle w:val="Compact"/>
      </w:pPr>
      <w:r>
        <w:t xml:space="preserve">Business value range served: USD 500,000 to USD 20M transactions</w:t>
      </w:r>
    </w:p>
    <w:p>
      <w:pPr>
        <w:numPr>
          <w:ilvl w:val="0"/>
          <w:numId w:val="1005"/>
        </w:numPr>
        <w:pStyle w:val="Compact"/>
      </w:pPr>
      <w:r>
        <w:t xml:space="preserve">Engagement model: success fee on deal closure (typically 5 to 10 percent) plus some upfront</w:t>
      </w:r>
    </w:p>
    <w:p>
      <w:pPr>
        <w:numPr>
          <w:ilvl w:val="0"/>
          <w:numId w:val="1005"/>
        </w:numPr>
        <w:pStyle w:val="Compact"/>
      </w:pPr>
      <w:r>
        <w:t xml:space="preserve">Project duration: 3 to 9 months per deal</w:t>
      </w:r>
    </w:p>
    <w:p>
      <w:pPr>
        <w:pStyle w:val="Heading2"/>
      </w:pPr>
      <w:bookmarkStart w:id="42" w:name="pricing"/>
      <w:r>
        <w:t xml:space="preserve">Pricing</w:t>
      </w:r>
      <w:bookmarkEnd w:id="42"/>
    </w:p>
    <w:p>
      <w:pPr>
        <w:numPr>
          <w:ilvl w:val="0"/>
          <w:numId w:val="1006"/>
        </w:numPr>
        <w:pStyle w:val="Compact"/>
      </w:pPr>
      <w:r>
        <w:t xml:space="preserve">Listing fee (sell-side): Typically USD 2,000 to USD 10,000 upfront</w:t>
      </w:r>
    </w:p>
    <w:p>
      <w:pPr>
        <w:numPr>
          <w:ilvl w:val="0"/>
          <w:numId w:val="1006"/>
        </w:numPr>
        <w:pStyle w:val="Compact"/>
      </w:pPr>
      <w:r>
        <w:t xml:space="preserve">Success fee: 8 to 12 percent on deal value (industry standard)</w:t>
      </w:r>
    </w:p>
    <w:p>
      <w:pPr>
        <w:numPr>
          <w:ilvl w:val="0"/>
          <w:numId w:val="1006"/>
        </w:numPr>
        <w:pStyle w:val="Compact"/>
      </w:pPr>
      <w:r>
        <w:t xml:space="preserve">Buyer representation: variable, typically bundled with acquisition services</w:t>
      </w:r>
    </w:p>
    <w:p>
      <w:pPr>
        <w:pStyle w:val="Heading2"/>
      </w:pPr>
      <w:bookmarkStart w:id="43" w:name="strengths-acknowledge-these-honestly"/>
      <w:r>
        <w:t xml:space="preserve">Strengths (acknowledge these honestly)</w:t>
      </w:r>
      <w:bookmarkEnd w:id="43"/>
    </w:p>
    <w:p>
      <w:pPr>
        <w:numPr>
          <w:ilvl w:val="0"/>
          <w:numId w:val="1007"/>
        </w:numPr>
        <w:pStyle w:val="Compact"/>
      </w:pPr>
      <w:r>
        <w:t xml:space="preserve">Long-standing brand recognition in UAE SMB business-for-sale market</w:t>
      </w:r>
    </w:p>
    <w:p>
      <w:pPr>
        <w:numPr>
          <w:ilvl w:val="0"/>
          <w:numId w:val="1007"/>
        </w:numPr>
        <w:pStyle w:val="Compact"/>
      </w:pPr>
      <w:r>
        <w:t xml:space="preserve">Broad franchise network (not just UAE)</w:t>
      </w:r>
    </w:p>
    <w:p>
      <w:pPr>
        <w:numPr>
          <w:ilvl w:val="0"/>
          <w:numId w:val="1007"/>
        </w:numPr>
        <w:pStyle w:val="Compact"/>
      </w:pPr>
      <w:r>
        <w:t xml:space="preserve">Established listings database</w:t>
      </w:r>
    </w:p>
    <w:p>
      <w:pPr>
        <w:numPr>
          <w:ilvl w:val="0"/>
          <w:numId w:val="1007"/>
        </w:numPr>
        <w:pStyle w:val="Compact"/>
      </w:pPr>
      <w:r>
        <w:t xml:space="preserve">Good fit for transactional buy-sell intermediation</w:t>
      </w:r>
    </w:p>
    <w:p>
      <w:pPr>
        <w:numPr>
          <w:ilvl w:val="0"/>
          <w:numId w:val="1007"/>
        </w:numPr>
        <w:pStyle w:val="Compact"/>
      </w:pPr>
      <w:r>
        <w:t xml:space="preserve">Industry-vertical specialists on some teams</w:t>
      </w:r>
    </w:p>
    <w:p>
      <w:pPr>
        <w:pStyle w:val="Heading2"/>
      </w:pPr>
      <w:bookmarkStart w:id="44" w:name="weaknesses-where-gci-wins"/>
      <w:r>
        <w:t xml:space="preserve">Weaknesses (where GCI wins)</w:t>
      </w:r>
      <w:bookmarkEnd w:id="44"/>
    </w:p>
    <w:p>
      <w:pPr>
        <w:numPr>
          <w:ilvl w:val="0"/>
          <w:numId w:val="1008"/>
        </w:numPr>
        <w:pStyle w:val="Compact"/>
      </w:pPr>
      <w:r>
        <w:rPr>
          <w:b/>
        </w:rPr>
        <w:t xml:space="preserve">Not investment intelligence:</w:t>
      </w:r>
      <w:r>
        <w:t xml:space="preserve"> </w:t>
      </w:r>
      <w:r>
        <w:t xml:space="preserve">Transworld is transaction broker. GCI is intelligence layer. Different tool for a different job.</w:t>
      </w:r>
    </w:p>
    <w:p>
      <w:pPr>
        <w:numPr>
          <w:ilvl w:val="0"/>
          <w:numId w:val="1008"/>
        </w:numPr>
        <w:pStyle w:val="Compact"/>
      </w:pPr>
      <w:r>
        <w:rPr>
          <w:b/>
        </w:rPr>
        <w:t xml:space="preserve">No analytical framework:</w:t>
      </w:r>
      <w:r>
        <w:t xml:space="preserve"> </w:t>
      </w:r>
      <w:r>
        <w:t xml:space="preserve">No published methodology, no evidence-tier system, no verdict framework. Advisory output is case-by-case brokerage documentation.</w:t>
      </w:r>
    </w:p>
    <w:p>
      <w:pPr>
        <w:numPr>
          <w:ilvl w:val="0"/>
          <w:numId w:val="1008"/>
        </w:numPr>
        <w:pStyle w:val="Compact"/>
      </w:pPr>
      <w:r>
        <w:rPr>
          <w:b/>
        </w:rPr>
        <w:t xml:space="preserve">No multi-AI cross-check:</w:t>
      </w:r>
      <w:r>
        <w:t xml:space="preserve"> </w:t>
      </w:r>
      <w:r>
        <w:t xml:space="preserve">Output quality depends on individual broker’s expertise and access.</w:t>
      </w:r>
    </w:p>
    <w:p>
      <w:pPr>
        <w:numPr>
          <w:ilvl w:val="0"/>
          <w:numId w:val="1008"/>
        </w:numPr>
        <w:pStyle w:val="Compact"/>
      </w:pPr>
      <w:r>
        <w:rPr>
          <w:b/>
        </w:rPr>
        <w:t xml:space="preserve">Incentive alignment:</w:t>
      </w:r>
      <w:r>
        <w:t xml:space="preserve"> </w:t>
      </w:r>
      <w:r>
        <w:t xml:space="preserve">Transworld earns on deal closure. GCI earns on decision quality, whether the answer is PROCEED, CONDITIONS, or AVOID. Transworld’s incentive is deal happens; ours is right answer.</w:t>
      </w:r>
    </w:p>
    <w:p>
      <w:pPr>
        <w:numPr>
          <w:ilvl w:val="0"/>
          <w:numId w:val="1008"/>
        </w:numPr>
        <w:pStyle w:val="Compact"/>
      </w:pPr>
      <w:r>
        <w:rPr>
          <w:b/>
        </w:rPr>
        <w:t xml:space="preserve">SMB focus:</w:t>
      </w:r>
      <w:r>
        <w:t xml:space="preserve"> </w:t>
      </w:r>
      <w:r>
        <w:t xml:space="preserve">Good at USD 1M to 10M transactions. Weak at family office portfolio screening, multi-deal pipeline analysis, strategic intelligence.</w:t>
      </w:r>
    </w:p>
    <w:p>
      <w:pPr>
        <w:pStyle w:val="Heading2"/>
      </w:pPr>
      <w:bookmarkStart w:id="45" w:name="why-gci-wins-head-to-head"/>
      <w:r>
        <w:t xml:space="preserve">Why GCI wins head-to-head</w:t>
      </w:r>
      <w:bookmarkEnd w:id="45"/>
    </w:p>
    <w:p>
      <w:pPr>
        <w:pStyle w:val="FirstParagraph"/>
      </w:pPr>
      <w:r>
        <w:t xml:space="preserve">Use these 3 talking points:</w:t>
      </w:r>
    </w:p>
    <w:p>
      <w:pPr>
        <w:numPr>
          <w:ilvl w:val="0"/>
          <w:numId w:val="1009"/>
        </w:numPr>
      </w:pPr>
      <w:r>
        <w:rPr>
          <w:b/>
        </w:rPr>
        <w:t xml:space="preserve">“</w:t>
      </w:r>
      <w:r>
        <w:rPr>
          <w:b/>
        </w:rPr>
        <w:t xml:space="preserve">Transworld finds you a deal. We tell you whether to do it.</w:t>
      </w:r>
      <w:r>
        <w:rPr>
          <w:b/>
        </w:rPr>
        <w:t xml:space="preserve">”</w:t>
      </w:r>
      <w:r>
        <w:t xml:space="preserve"> </w:t>
      </w:r>
      <w:r>
        <w:t xml:space="preserve">Different jobs. If you need a broker who will source opportunities, Transworld. If you need an independent intelligence layer to pressure-test a deal already on the table, us.</w:t>
      </w:r>
    </w:p>
    <w:p>
      <w:pPr>
        <w:numPr>
          <w:ilvl w:val="0"/>
          <w:numId w:val="1009"/>
        </w:numPr>
      </w:pPr>
      <w:r>
        <w:rPr>
          <w:b/>
        </w:rPr>
        <w:t xml:space="preserve">“</w:t>
      </w:r>
      <w:r>
        <w:rPr>
          <w:b/>
        </w:rPr>
        <w:t xml:space="preserve">We publish our methodology. Ask them for theirs.</w:t>
      </w:r>
      <w:r>
        <w:rPr>
          <w:b/>
        </w:rPr>
        <w:t xml:space="preserve">”</w:t>
      </w:r>
      <w:r>
        <w:t xml:space="preserve"> </w:t>
      </w:r>
      <w:r>
        <w:t xml:space="preserve">GCI has a public 5-stage analytical framework (https://gulfcapitalintelligence.com/methodology.html). Transworld does not have a published analytical methodology. Clients who care about institutional process often switch from Transworld when they need auditable analysis.</w:t>
      </w:r>
    </w:p>
    <w:p>
      <w:pPr>
        <w:numPr>
          <w:ilvl w:val="0"/>
          <w:numId w:val="1009"/>
        </w:numPr>
      </w:pPr>
      <w:r>
        <w:rPr>
          <w:b/>
        </w:rPr>
        <w:t xml:space="preserve">“</w:t>
      </w:r>
      <w:r>
        <w:rPr>
          <w:b/>
        </w:rPr>
        <w:t xml:space="preserve">Our incentive is the right answer. Theirs is the closed deal.</w:t>
      </w:r>
      <w:r>
        <w:rPr>
          <w:b/>
        </w:rPr>
        <w:t xml:space="preserve">”</w:t>
      </w:r>
      <w:r>
        <w:t xml:space="preserve"> </w:t>
      </w:r>
      <w:r>
        <w:t xml:space="preserve">This is the single most important differentiation. Brokers earn when deals close. GCI earns regardless. For family offices where the cost of a wrong PROCEED is 10x the cost of a missed PROCEED, independent intelligence is worth paying for.</w:t>
      </w:r>
    </w:p>
    <w:p>
      <w:pPr>
        <w:pStyle w:val="Heading2"/>
      </w:pPr>
      <w:bookmarkStart w:id="46" w:name="objection-handling"/>
      <w:r>
        <w:t xml:space="preserve">Objection handling</w:t>
      </w:r>
      <w:bookmarkEnd w:id="46"/>
    </w:p>
    <w:p>
      <w:pPr>
        <w:pStyle w:val="FirstParagraph"/>
      </w:pPr>
      <w:r>
        <w:rPr>
          <w:b/>
        </w:rPr>
        <w:t xml:space="preserve">“</w:t>
      </w:r>
      <w:r>
        <w:rPr>
          <w:b/>
        </w:rPr>
        <w:t xml:space="preserve">Transworld is cheaper.</w:t>
      </w:r>
      <w:r>
        <w:rPr>
          <w:b/>
        </w:rPr>
        <w:t xml:space="preserve">”</w:t>
      </w:r>
      <w:r>
        <w:br/>
      </w:r>
      <w:r>
        <w:rPr>
          <w:i/>
        </w:rPr>
        <w:t xml:space="preserve">Response:</w:t>
      </w:r>
      <w:r>
        <w:t xml:space="preserve"> </w:t>
      </w:r>
      <w:r>
        <w:t xml:space="preserve">“</w:t>
      </w:r>
      <w:r>
        <w:t xml:space="preserve">For a business broker, yes. For investment intelligence, we are not competing on price with a broker; we are the layer between broker output and IC approval. Our USD 499 Conviction Report replaces USD 30,000 to USD 80,000 of traditional institutional diligence.</w:t>
      </w:r>
      <w:r>
        <w:t xml:space="preserve">”</w:t>
      </w:r>
    </w:p>
    <w:p>
      <w:pPr>
        <w:pStyle w:val="BodyText"/>
      </w:pPr>
      <w:r>
        <w:rPr>
          <w:b/>
        </w:rPr>
        <w:t xml:space="preserve">“</w:t>
      </w:r>
      <w:r>
        <w:rPr>
          <w:b/>
        </w:rPr>
        <w:t xml:space="preserve">Transworld has been in the UAE longer.</w:t>
      </w:r>
      <w:r>
        <w:rPr>
          <w:b/>
        </w:rPr>
        <w:t xml:space="preserve">”</w:t>
      </w:r>
      <w:r>
        <w:br/>
      </w:r>
      <w:r>
        <w:rPr>
          <w:i/>
        </w:rPr>
        <w:t xml:space="preserve">Response:</w:t>
      </w:r>
      <w:r>
        <w:t xml:space="preserve"> </w:t>
      </w:r>
      <w:r>
        <w:t xml:space="preserve">“</w:t>
      </w:r>
      <w:r>
        <w:t xml:space="preserve">Brand recognition for brokerage, true. But the product you are buying is the analysis, not the brand. Our Founder spent over a decade advising UAE businesses operationally. Our methodology is published. We’d rather be judged on the output.</w:t>
      </w:r>
      <w:r>
        <w:t xml:space="preserve">”</w:t>
      </w:r>
    </w:p>
    <w:p>
      <w:pPr>
        <w:pStyle w:val="BodyText"/>
      </w:pPr>
      <w:r>
        <w:rPr>
          <w:b/>
        </w:rPr>
        <w:t xml:space="preserve">“</w:t>
      </w:r>
      <w:r>
        <w:rPr>
          <w:b/>
        </w:rPr>
        <w:t xml:space="preserve">We already have a Transworld relationship.</w:t>
      </w:r>
      <w:r>
        <w:rPr>
          <w:b/>
        </w:rPr>
        <w:t xml:space="preserve">”</w:t>
      </w:r>
      <w:r>
        <w:br/>
      </w:r>
      <w:r>
        <w:rPr>
          <w:i/>
        </w:rPr>
        <w:t xml:space="preserve">Response:</w:t>
      </w:r>
      <w:r>
        <w:t xml:space="preserve"> </w:t>
      </w:r>
      <w:r>
        <w:t xml:space="preserve">“</w:t>
      </w:r>
      <w:r>
        <w:t xml:space="preserve">That’s fine. Keep it. Transworld sources deals, we pressure-test them. Many of our clients use brokers for origination and us for the IC pack. We complement, not replace.</w:t>
      </w:r>
      <w:r>
        <w:t xml:space="preserve">”</w:t>
      </w:r>
    </w:p>
    <w:p>
      <w:pPr>
        <w:pStyle w:val="Heading2"/>
      </w:pPr>
      <w:bookmarkStart w:id="47" w:name="deal-log-fill-in-over-time"/>
      <w:r>
        <w:t xml:space="preserve">Deal log (fill in over time)</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Deal</w:t>
            </w:r>
          </w:p>
        </w:tc>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Notes</w:t>
            </w:r>
          </w:p>
        </w:tc>
      </w:tr>
      <w:tr>
        <w:tc>
          <w:p>
            <w:pPr>
              <w:pStyle w:val="Compact"/>
              <w:jc w:val="left"/>
            </w:pPr>
            <w:r>
              <w:t xml:space="preserve">2026-04</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2"/>
      </w:pPr>
      <w:bookmarkStart w:id="48" w:name="intel-to-gather"/>
      <w:r>
        <w:t xml:space="preserve">Intel to gather</w:t>
      </w:r>
      <w:bookmarkEnd w:id="48"/>
    </w:p>
    <w:p>
      <w:pPr>
        <w:numPr>
          <w:ilvl w:val="0"/>
          <w:numId w:val="1010"/>
        </w:numPr>
        <w:pStyle w:val="Compact"/>
      </w:pPr>
      <w:r>
        <w:t xml:space="preserve">Specific fee structure when Transworld is hired for buy-side only (not success-fee based)</w:t>
      </w:r>
    </w:p>
    <w:p>
      <w:pPr>
        <w:numPr>
          <w:ilvl w:val="0"/>
          <w:numId w:val="1010"/>
        </w:numPr>
        <w:pStyle w:val="Compact"/>
      </w:pPr>
      <w:r>
        <w:t xml:space="preserve">Quality of their written output (would need to see a sample)</w:t>
      </w:r>
    </w:p>
    <w:p>
      <w:pPr>
        <w:numPr>
          <w:ilvl w:val="0"/>
          <w:numId w:val="1010"/>
        </w:numPr>
        <w:pStyle w:val="Compact"/>
      </w:pPr>
      <w:r>
        <w:t xml:space="preserve">Whether they offer family office portfolio services (they don’t seem to, but verify)</w:t>
      </w:r>
    </w:p>
    <w:p>
      <w:pPr>
        <w:pStyle w:val="Heading1"/>
      </w:pPr>
      <w:bookmarkStart w:id="49" w:name="battlecard-02-kuvera-consulting"/>
      <w:r>
        <w:t xml:space="preserve">Battlecard 02: Kuvera Consulting</w:t>
      </w:r>
      <w:bookmarkEnd w:id="49"/>
    </w:p>
    <w:p>
      <w:pPr>
        <w:pStyle w:val="FirstParagraph"/>
      </w:pPr>
      <w:r>
        <w:rPr>
          <w:b/>
        </w:rPr>
        <w:t xml:space="preserve">Last updated:</w:t>
      </w:r>
      <w:r>
        <w:t xml:space="preserve"> </w:t>
      </w:r>
      <w:r>
        <w:t xml:space="preserve">2026-04-24</w:t>
      </w:r>
      <w:r>
        <w:br/>
      </w:r>
      <w:r>
        <w:rPr>
          <w:b/>
        </w:rPr>
        <w:t xml:space="preserve">Classification:</w:t>
      </w:r>
      <w:r>
        <w:t xml:space="preserve"> </w:t>
      </w:r>
      <w:r>
        <w:t xml:space="preserve">INTERNAL ONLY</w:t>
      </w:r>
    </w:p>
    <w:p>
      <w:pPr>
        <w:pStyle w:val="Heading2"/>
      </w:pPr>
      <w:bookmarkStart w:id="50" w:name="who-they-are-1"/>
      <w:r>
        <w:t xml:space="preserve">Who they are</w:t>
      </w:r>
      <w:bookmarkEnd w:id="50"/>
    </w:p>
    <w:p>
      <w:pPr>
        <w:pStyle w:val="FirstParagraph"/>
      </w:pPr>
      <w:r>
        <w:t xml:space="preserve">Kuvera Consulting is a UAE-based advisory firm specialising in financial and commercial due diligence for M&amp;A transactions, investment decisions, and corporate restructuring in the GCC and South Asia.</w:t>
      </w:r>
    </w:p>
    <w:p>
      <w:pPr>
        <w:pStyle w:val="Heading2"/>
      </w:pPr>
      <w:bookmarkStart w:id="51" w:name="what-they-offer-1"/>
      <w:r>
        <w:t xml:space="preserve">What they offer</w:t>
      </w:r>
      <w:bookmarkEnd w:id="51"/>
    </w:p>
    <w:p>
      <w:pPr>
        <w:numPr>
          <w:ilvl w:val="0"/>
          <w:numId w:val="1011"/>
        </w:numPr>
        <w:pStyle w:val="Compact"/>
      </w:pPr>
      <w:r>
        <w:t xml:space="preserve">Financial due diligence (buy-side and sell-side)</w:t>
      </w:r>
    </w:p>
    <w:p>
      <w:pPr>
        <w:numPr>
          <w:ilvl w:val="0"/>
          <w:numId w:val="1011"/>
        </w:numPr>
        <w:pStyle w:val="Compact"/>
      </w:pPr>
      <w:r>
        <w:t xml:space="preserve">Commercial due diligence</w:t>
      </w:r>
    </w:p>
    <w:p>
      <w:pPr>
        <w:numPr>
          <w:ilvl w:val="0"/>
          <w:numId w:val="1011"/>
        </w:numPr>
        <w:pStyle w:val="Compact"/>
      </w:pPr>
      <w:r>
        <w:t xml:space="preserve">Valuations (DCF, comparables, precedent transactions)</w:t>
      </w:r>
    </w:p>
    <w:p>
      <w:pPr>
        <w:numPr>
          <w:ilvl w:val="0"/>
          <w:numId w:val="1011"/>
        </w:numPr>
        <w:pStyle w:val="Compact"/>
      </w:pPr>
      <w:r>
        <w:t xml:space="preserve">Post-acquisition integration support</w:t>
      </w:r>
    </w:p>
    <w:p>
      <w:pPr>
        <w:numPr>
          <w:ilvl w:val="0"/>
          <w:numId w:val="1011"/>
        </w:numPr>
        <w:pStyle w:val="Compact"/>
      </w:pPr>
      <w:r>
        <w:t xml:space="preserve">Corporate restructuring advisory</w:t>
      </w:r>
    </w:p>
    <w:p>
      <w:pPr>
        <w:numPr>
          <w:ilvl w:val="0"/>
          <w:numId w:val="1011"/>
        </w:numPr>
        <w:pStyle w:val="Compact"/>
      </w:pPr>
      <w:r>
        <w:t xml:space="preserve">Transaction advisory for M&amp;A</w:t>
      </w:r>
    </w:p>
    <w:p>
      <w:pPr>
        <w:pStyle w:val="Heading2"/>
      </w:pPr>
      <w:bookmarkStart w:id="52" w:name="typical-engagement-1"/>
      <w:r>
        <w:t xml:space="preserve">Typical engagement</w:t>
      </w:r>
      <w:bookmarkEnd w:id="52"/>
    </w:p>
    <w:p>
      <w:pPr>
        <w:numPr>
          <w:ilvl w:val="0"/>
          <w:numId w:val="1012"/>
        </w:numPr>
        <w:pStyle w:val="Compact"/>
      </w:pPr>
      <w:r>
        <w:t xml:space="preserve">Transaction size served: USD 5M to USD 150M deals</w:t>
      </w:r>
    </w:p>
    <w:p>
      <w:pPr>
        <w:numPr>
          <w:ilvl w:val="0"/>
          <w:numId w:val="1012"/>
        </w:numPr>
        <w:pStyle w:val="Compact"/>
      </w:pPr>
      <w:r>
        <w:t xml:space="preserve">Engagement model: fixed fee per scope, typically USD 25,000 to USD 250,000 per engagement</w:t>
      </w:r>
    </w:p>
    <w:p>
      <w:pPr>
        <w:numPr>
          <w:ilvl w:val="0"/>
          <w:numId w:val="1012"/>
        </w:numPr>
        <w:pStyle w:val="Compact"/>
      </w:pPr>
      <w:r>
        <w:t xml:space="preserve">Project duration: 6 to 16 weeks per engagement</w:t>
      </w:r>
    </w:p>
    <w:p>
      <w:pPr>
        <w:pStyle w:val="Heading2"/>
      </w:pPr>
      <w:bookmarkStart w:id="53" w:name="pricing-1"/>
      <w:r>
        <w:t xml:space="preserve">Pricing</w:t>
      </w:r>
      <w:bookmarkEnd w:id="53"/>
    </w:p>
    <w:p>
      <w:pPr>
        <w:numPr>
          <w:ilvl w:val="0"/>
          <w:numId w:val="1013"/>
        </w:numPr>
        <w:pStyle w:val="Compact"/>
      </w:pPr>
      <w:r>
        <w:t xml:space="preserve">Financial DD on USD 20M deal: typically USD 60,000 to USD 150,000</w:t>
      </w:r>
    </w:p>
    <w:p>
      <w:pPr>
        <w:numPr>
          <w:ilvl w:val="0"/>
          <w:numId w:val="1013"/>
        </w:numPr>
        <w:pStyle w:val="Compact"/>
      </w:pPr>
      <w:r>
        <w:t xml:space="preserve">Commercial DD on USD 20M deal: typically USD 80,000 to USD 180,000</w:t>
      </w:r>
    </w:p>
    <w:p>
      <w:pPr>
        <w:numPr>
          <w:ilvl w:val="0"/>
          <w:numId w:val="1013"/>
        </w:numPr>
        <w:pStyle w:val="Compact"/>
      </w:pPr>
      <w:r>
        <w:t xml:space="preserve">Combined FDD + CDD: USD 120,000 to USD 300,000</w:t>
      </w:r>
    </w:p>
    <w:p>
      <w:pPr>
        <w:numPr>
          <w:ilvl w:val="0"/>
          <w:numId w:val="1013"/>
        </w:numPr>
        <w:pStyle w:val="Compact"/>
      </w:pPr>
      <w:r>
        <w:t xml:space="preserve">Valuation engagement: USD 25,000 to USD 80,000 standalone</w:t>
      </w:r>
    </w:p>
    <w:p>
      <w:pPr>
        <w:pStyle w:val="Heading2"/>
      </w:pPr>
      <w:bookmarkStart w:id="54" w:name="strengths-acknowledge-these"/>
      <w:r>
        <w:t xml:space="preserve">Strengths (acknowledge these)</w:t>
      </w:r>
      <w:bookmarkEnd w:id="54"/>
    </w:p>
    <w:p>
      <w:pPr>
        <w:numPr>
          <w:ilvl w:val="0"/>
          <w:numId w:val="1014"/>
        </w:numPr>
        <w:pStyle w:val="Compact"/>
      </w:pPr>
      <w:r>
        <w:t xml:space="preserve">Qualified teams (chartered accountants, corporate finance professionals)</w:t>
      </w:r>
    </w:p>
    <w:p>
      <w:pPr>
        <w:numPr>
          <w:ilvl w:val="0"/>
          <w:numId w:val="1014"/>
        </w:numPr>
        <w:pStyle w:val="Compact"/>
      </w:pPr>
      <w:r>
        <w:t xml:space="preserve">Rigorous FDD and CDD workstreams consistent with Big 4 methodology</w:t>
      </w:r>
    </w:p>
    <w:p>
      <w:pPr>
        <w:numPr>
          <w:ilvl w:val="0"/>
          <w:numId w:val="1014"/>
        </w:numPr>
        <w:pStyle w:val="Compact"/>
      </w:pPr>
      <w:r>
        <w:t xml:space="preserve">GCC and South Asian corridor expertise</w:t>
      </w:r>
    </w:p>
    <w:p>
      <w:pPr>
        <w:numPr>
          <w:ilvl w:val="0"/>
          <w:numId w:val="1014"/>
        </w:numPr>
        <w:pStyle w:val="Compact"/>
      </w:pPr>
      <w:r>
        <w:t xml:space="preserve">Strong at post-transaction integration</w:t>
      </w:r>
    </w:p>
    <w:p>
      <w:pPr>
        <w:numPr>
          <w:ilvl w:val="0"/>
          <w:numId w:val="1014"/>
        </w:numPr>
        <w:pStyle w:val="Compact"/>
      </w:pPr>
      <w:r>
        <w:t xml:space="preserve">Trusted for IC-grade reports for mid-market deals</w:t>
      </w:r>
    </w:p>
    <w:p>
      <w:pPr>
        <w:numPr>
          <w:ilvl w:val="0"/>
          <w:numId w:val="1014"/>
        </w:numPr>
        <w:pStyle w:val="Compact"/>
      </w:pPr>
      <w:r>
        <w:t xml:space="preserve">Deep benchmarking databases from prior deals</w:t>
      </w:r>
    </w:p>
    <w:p>
      <w:pPr>
        <w:pStyle w:val="Heading2"/>
      </w:pPr>
      <w:bookmarkStart w:id="55" w:name="weaknesses-where-gci-wins-1"/>
      <w:r>
        <w:t xml:space="preserve">Weaknesses (where GCI wins)</w:t>
      </w:r>
      <w:bookmarkEnd w:id="55"/>
    </w:p>
    <w:p>
      <w:pPr>
        <w:numPr>
          <w:ilvl w:val="0"/>
          <w:numId w:val="1015"/>
        </w:numPr>
        <w:pStyle w:val="Compact"/>
      </w:pPr>
      <w:r>
        <w:rPr>
          <w:b/>
        </w:rPr>
        <w:t xml:space="preserve">Price point:</w:t>
      </w:r>
      <w:r>
        <w:t xml:space="preserve"> </w:t>
      </w:r>
      <w:r>
        <w:t xml:space="preserve">USD 60,000 to USD 300,000 per deal vs GCI USD 499 to USD 2,499. Different tier of buyer.</w:t>
      </w:r>
    </w:p>
    <w:p>
      <w:pPr>
        <w:numPr>
          <w:ilvl w:val="0"/>
          <w:numId w:val="1015"/>
        </w:numPr>
        <w:pStyle w:val="Compact"/>
      </w:pPr>
      <w:r>
        <w:rPr>
          <w:b/>
        </w:rPr>
        <w:t xml:space="preserve">Speed:</w:t>
      </w:r>
      <w:r>
        <w:t xml:space="preserve"> </w:t>
      </w:r>
      <w:r>
        <w:t xml:space="preserve">6 to 16 weeks vs GCI 3 to 5 days. Different use case.</w:t>
      </w:r>
    </w:p>
    <w:p>
      <w:pPr>
        <w:numPr>
          <w:ilvl w:val="0"/>
          <w:numId w:val="1015"/>
        </w:numPr>
        <w:pStyle w:val="Compact"/>
      </w:pPr>
      <w:r>
        <w:rPr>
          <w:b/>
        </w:rPr>
        <w:t xml:space="preserve">Scale:</w:t>
      </w:r>
      <w:r>
        <w:t xml:space="preserve"> </w:t>
      </w:r>
      <w:r>
        <w:t xml:space="preserve">One engagement per deal vs GCI unlimited at retainer. Kuvera cannot economically serve a family office screening 20 deals a year.</w:t>
      </w:r>
    </w:p>
    <w:p>
      <w:pPr>
        <w:numPr>
          <w:ilvl w:val="0"/>
          <w:numId w:val="1015"/>
        </w:numPr>
        <w:pStyle w:val="Compact"/>
      </w:pPr>
      <w:r>
        <w:rPr>
          <w:b/>
        </w:rPr>
        <w:t xml:space="preserve">Methodology opacity:</w:t>
      </w:r>
      <w:r>
        <w:t xml:space="preserve"> </w:t>
      </w:r>
      <w:r>
        <w:t xml:space="preserve">Kuvera’s internal frameworks are not public. Our 5-stage pipeline and 5-tier evidence system are public and auditable.</w:t>
      </w:r>
    </w:p>
    <w:p>
      <w:pPr>
        <w:numPr>
          <w:ilvl w:val="0"/>
          <w:numId w:val="1015"/>
        </w:numPr>
        <w:pStyle w:val="Compact"/>
      </w:pPr>
      <w:r>
        <w:rPr>
          <w:b/>
        </w:rPr>
        <w:t xml:space="preserve">No multi-AI cross-check:</w:t>
      </w:r>
      <w:r>
        <w:t xml:space="preserve"> </w:t>
      </w:r>
      <w:r>
        <w:t xml:space="preserve">Single-team analytical output. GCI uses three AI models to surface disagreement.</w:t>
      </w:r>
    </w:p>
    <w:p>
      <w:pPr>
        <w:pStyle w:val="Heading2"/>
      </w:pPr>
      <w:bookmarkStart w:id="56" w:name="why-gci-wins-head-to-head-1"/>
      <w:r>
        <w:t xml:space="preserve">Why GCI wins head-to-head</w:t>
      </w:r>
      <w:bookmarkEnd w:id="56"/>
    </w:p>
    <w:p>
      <w:pPr>
        <w:pStyle w:val="FirstParagraph"/>
      </w:pPr>
      <w:r>
        <w:t xml:space="preserve">Use these 3 talking points:</w:t>
      </w:r>
    </w:p>
    <w:p>
      <w:pPr>
        <w:numPr>
          <w:ilvl w:val="0"/>
          <w:numId w:val="1016"/>
        </w:numPr>
      </w:pPr>
      <w:r>
        <w:rPr>
          <w:b/>
        </w:rPr>
        <w:t xml:space="preserve">“</w:t>
      </w:r>
      <w:r>
        <w:rPr>
          <w:b/>
        </w:rPr>
        <w:t xml:space="preserve">Different tier. We complement them, not compete.</w:t>
      </w:r>
      <w:r>
        <w:rPr>
          <w:b/>
        </w:rPr>
        <w:t xml:space="preserve">”</w:t>
      </w:r>
      <w:r>
        <w:t xml:space="preserve"> </w:t>
      </w:r>
      <w:r>
        <w:t xml:space="preserve">Kuvera is for the final IC binder on the one deal you are actually signing. GCI is for the 20 deals you are screening to decide which one gets to that final stage. Family offices use us for screening then Kuvera for the chosen deal.</w:t>
      </w:r>
    </w:p>
    <w:p>
      <w:pPr>
        <w:numPr>
          <w:ilvl w:val="0"/>
          <w:numId w:val="1016"/>
        </w:numPr>
      </w:pPr>
      <w:r>
        <w:rPr>
          <w:b/>
        </w:rPr>
        <w:t xml:space="preserve">“</w:t>
      </w:r>
      <w:r>
        <w:rPr>
          <w:b/>
        </w:rPr>
        <w:t xml:space="preserve">50x cost, 15x faster.</w:t>
      </w:r>
      <w:r>
        <w:rPr>
          <w:b/>
        </w:rPr>
        <w:t xml:space="preserve">”</w:t>
      </w:r>
      <w:r>
        <w:t xml:space="preserve"> </w:t>
      </w:r>
      <w:r>
        <w:t xml:space="preserve">For the first-pass Conviction Report on a single deal, GCI USD 499 and 3 to 5 days vs Kuvera USD 60,000 and 6 to 16 weeks. Same structural intelligence, institutional quality, at 99.2 percent lower cost.</w:t>
      </w:r>
    </w:p>
    <w:p>
      <w:pPr>
        <w:numPr>
          <w:ilvl w:val="0"/>
          <w:numId w:val="1016"/>
        </w:numPr>
      </w:pPr>
      <w:r>
        <w:rPr>
          <w:b/>
        </w:rPr>
        <w:t xml:space="preserve">“</w:t>
      </w:r>
      <w:r>
        <w:rPr>
          <w:b/>
        </w:rPr>
        <w:t xml:space="preserve">Family offices don’t hire Kuvera for every deal. They hire us.</w:t>
      </w:r>
      <w:r>
        <w:rPr>
          <w:b/>
        </w:rPr>
        <w:t xml:space="preserve">”</w:t>
      </w:r>
      <w:r>
        <w:t xml:space="preserve"> </w:t>
      </w:r>
      <w:r>
        <w:t xml:space="preserve">Because the economics don’t work. If a family office is looking at 12 deals a year, they can’t justify 12 x USD 100,000. But 12 x USD 499 fits easily.</w:t>
      </w:r>
    </w:p>
    <w:p>
      <w:pPr>
        <w:pStyle w:val="Heading2"/>
      </w:pPr>
      <w:bookmarkStart w:id="57" w:name="objection-handling-1"/>
      <w:r>
        <w:t xml:space="preserve">Objection handling</w:t>
      </w:r>
      <w:bookmarkEnd w:id="57"/>
    </w:p>
    <w:p>
      <w:pPr>
        <w:pStyle w:val="FirstParagraph"/>
      </w:pPr>
      <w:r>
        <w:rPr>
          <w:b/>
        </w:rPr>
        <w:t xml:space="preserve">“</w:t>
      </w:r>
      <w:r>
        <w:rPr>
          <w:b/>
        </w:rPr>
        <w:t xml:space="preserve">Kuvera’s reports are more thorough.</w:t>
      </w:r>
      <w:r>
        <w:rPr>
          <w:b/>
        </w:rPr>
        <w:t xml:space="preserve">”</w:t>
      </w:r>
      <w:r>
        <w:br/>
      </w:r>
      <w:r>
        <w:rPr>
          <w:i/>
        </w:rPr>
        <w:t xml:space="preserve">Response:</w:t>
      </w:r>
      <w:r>
        <w:t xml:space="preserve"> </w:t>
      </w:r>
      <w:r>
        <w:t xml:space="preserve">“</w:t>
      </w:r>
      <w:r>
        <w:t xml:space="preserve">Yes, for a specific deal at the final stage. We are thorough at institutional quality level but tuned for first-screen decisions. We PROCEED the top 15 percent of deals, which is where Kuvera-tier work then makes sense. We get you from</w:t>
      </w:r>
      <w:r>
        <w:t xml:space="preserve"> </w:t>
      </w:r>
      <w:r>
        <w:t xml:space="preserve">‘</w:t>
      </w:r>
      <w:r>
        <w:t xml:space="preserve">which deals</w:t>
      </w:r>
      <w:r>
        <w:t xml:space="preserve">’</w:t>
      </w:r>
      <w:r>
        <w:t xml:space="preserve"> </w:t>
      </w:r>
      <w:r>
        <w:t xml:space="preserve">to</w:t>
      </w:r>
      <w:r>
        <w:t xml:space="preserve"> </w:t>
      </w:r>
      <w:r>
        <w:t xml:space="preserve">‘</w:t>
      </w:r>
      <w:r>
        <w:t xml:space="preserve">the one deal</w:t>
      </w:r>
      <w:r>
        <w:t xml:space="preserve">’</w:t>
      </w:r>
      <w:r>
        <w:t xml:space="preserve"> </w:t>
      </w:r>
      <w:r>
        <w:t xml:space="preserve">much faster than doing Kuvera-level work on everything.</w:t>
      </w:r>
      <w:r>
        <w:t xml:space="preserve">”</w:t>
      </w:r>
    </w:p>
    <w:p>
      <w:pPr>
        <w:pStyle w:val="BodyText"/>
      </w:pPr>
      <w:r>
        <w:rPr>
          <w:b/>
        </w:rPr>
        <w:t xml:space="preserve">“</w:t>
      </w:r>
      <w:r>
        <w:rPr>
          <w:b/>
        </w:rPr>
        <w:t xml:space="preserve">Kuvera has a Big 4 alum team.</w:t>
      </w:r>
      <w:r>
        <w:rPr>
          <w:b/>
        </w:rPr>
        <w:t xml:space="preserve">”</w:t>
      </w:r>
      <w:r>
        <w:br/>
      </w:r>
      <w:r>
        <w:rPr>
          <w:i/>
        </w:rPr>
        <w:t xml:space="preserve">Response:</w:t>
      </w:r>
      <w:r>
        <w:t xml:space="preserve"> </w:t>
      </w:r>
      <w:r>
        <w:t xml:space="preserve">“</w:t>
      </w:r>
      <w:r>
        <w:t xml:space="preserve">True and valuable for post-signing work. Our methodology is designed to catch 80 percent of issues at 5 percent of the cost. For pre-LOI screening, that tradeoff matters. When you hit LOI, Kuvera or Big 4 is the right next spend.</w:t>
      </w:r>
      <w:r>
        <w:t xml:space="preserve">”</w:t>
      </w:r>
    </w:p>
    <w:p>
      <w:pPr>
        <w:pStyle w:val="BodyText"/>
      </w:pPr>
      <w:r>
        <w:rPr>
          <w:b/>
        </w:rPr>
        <w:t xml:space="preserve">“</w:t>
      </w:r>
      <w:r>
        <w:rPr>
          <w:b/>
        </w:rPr>
        <w:t xml:space="preserve">We already pay Kuvera, why add GCI?</w:t>
      </w:r>
      <w:r>
        <w:rPr>
          <w:b/>
        </w:rPr>
        <w:t xml:space="preserve">”</w:t>
      </w:r>
      <w:r>
        <w:br/>
      </w:r>
      <w:r>
        <w:rPr>
          <w:i/>
        </w:rPr>
        <w:t xml:space="preserve">Response:</w:t>
      </w:r>
      <w:r>
        <w:t xml:space="preserve"> </w:t>
      </w:r>
      <w:r>
        <w:t xml:space="preserve">“</w:t>
      </w:r>
      <w:r>
        <w:t xml:space="preserve">We add capacity without adding incremental cost per decision. If you’re currently running 4 Kuvera engagements a year at USD 400,000 total, adding GCI at USD 30,000 annual retainer lets you screen 40 more deals. Same budget, 10x pipeline coverage.</w:t>
      </w:r>
      <w:r>
        <w:t xml:space="preserve">”</w:t>
      </w:r>
    </w:p>
    <w:p>
      <w:pPr>
        <w:pStyle w:val="Heading2"/>
      </w:pPr>
      <w:bookmarkStart w:id="58" w:name="deal-log-fill-in-over-time-1"/>
      <w:r>
        <w:t xml:space="preserve">Deal log (fill in over time)</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Deal</w:t>
            </w:r>
          </w:p>
        </w:tc>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Notes</w:t>
            </w:r>
          </w:p>
        </w:tc>
      </w:tr>
      <w:tr>
        <w:tc>
          <w:p>
            <w:pPr>
              <w:pStyle w:val="Compact"/>
              <w:jc w:val="left"/>
            </w:pPr>
            <w:r>
              <w:t xml:space="preserve">2026-04</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2"/>
      </w:pPr>
      <w:bookmarkStart w:id="59" w:name="intel-to-gather-1"/>
      <w:r>
        <w:t xml:space="preserve">Intel to gather</w:t>
      </w:r>
      <w:bookmarkEnd w:id="59"/>
    </w:p>
    <w:p>
      <w:pPr>
        <w:numPr>
          <w:ilvl w:val="0"/>
          <w:numId w:val="1017"/>
        </w:numPr>
        <w:pStyle w:val="Compact"/>
      </w:pPr>
      <w:r>
        <w:t xml:space="preserve">Exact scope definition on their</w:t>
      </w:r>
      <w:r>
        <w:t xml:space="preserve"> </w:t>
      </w:r>
      <w:r>
        <w:t xml:space="preserve">“</w:t>
      </w:r>
      <w:r>
        <w:t xml:space="preserve">financial + commercial DD combined</w:t>
      </w:r>
      <w:r>
        <w:t xml:space="preserve">”</w:t>
      </w:r>
      <w:r>
        <w:t xml:space="preserve"> </w:t>
      </w:r>
      <w:r>
        <w:t xml:space="preserve">offering</w:t>
      </w:r>
    </w:p>
    <w:p>
      <w:pPr>
        <w:numPr>
          <w:ilvl w:val="0"/>
          <w:numId w:val="1017"/>
        </w:numPr>
        <w:pStyle w:val="Compact"/>
      </w:pPr>
      <w:r>
        <w:t xml:space="preserve">Turnaround time commitments (SLA or best effort)</w:t>
      </w:r>
    </w:p>
    <w:p>
      <w:pPr>
        <w:numPr>
          <w:ilvl w:val="0"/>
          <w:numId w:val="1017"/>
        </w:numPr>
        <w:pStyle w:val="Compact"/>
      </w:pPr>
      <w:r>
        <w:t xml:space="preserve">Whether they offer flat-fee engagements or purely hourly</w:t>
      </w:r>
    </w:p>
    <w:p>
      <w:pPr>
        <w:numPr>
          <w:ilvl w:val="0"/>
          <w:numId w:val="1017"/>
        </w:numPr>
        <w:pStyle w:val="Compact"/>
      </w:pPr>
      <w:r>
        <w:t xml:space="preserve">Specific sectors where they have deep benchmarks (hospitality? healthcare? both?)</w:t>
      </w:r>
    </w:p>
    <w:p>
      <w:pPr>
        <w:numPr>
          <w:ilvl w:val="0"/>
          <w:numId w:val="1017"/>
        </w:numPr>
        <w:pStyle w:val="Compact"/>
      </w:pPr>
      <w:r>
        <w:t xml:space="preserve">Any published case studies or methodology documents</w:t>
      </w:r>
    </w:p>
    <w:p>
      <w:pPr>
        <w:pStyle w:val="Heading1"/>
      </w:pPr>
      <w:bookmarkStart w:id="60" w:name="battlecard-03-credence-co."/>
      <w:r>
        <w:t xml:space="preserve">Battlecard 03: Credence &amp; Co.</w:t>
      </w:r>
      <w:bookmarkEnd w:id="60"/>
    </w:p>
    <w:p>
      <w:pPr>
        <w:pStyle w:val="FirstParagraph"/>
      </w:pPr>
      <w:r>
        <w:rPr>
          <w:b/>
        </w:rPr>
        <w:t xml:space="preserve">Last updated:</w:t>
      </w:r>
      <w:r>
        <w:t xml:space="preserve"> </w:t>
      </w:r>
      <w:r>
        <w:t xml:space="preserve">2026-04-24</w:t>
      </w:r>
      <w:r>
        <w:br/>
      </w:r>
      <w:r>
        <w:rPr>
          <w:b/>
        </w:rPr>
        <w:t xml:space="preserve">Classification:</w:t>
      </w:r>
      <w:r>
        <w:t xml:space="preserve"> </w:t>
      </w:r>
      <w:r>
        <w:t xml:space="preserve">INTERNAL ONLY</w:t>
      </w:r>
    </w:p>
    <w:p>
      <w:pPr>
        <w:pStyle w:val="Heading2"/>
      </w:pPr>
      <w:bookmarkStart w:id="61" w:name="who-they-are-2"/>
      <w:r>
        <w:t xml:space="preserve">Who they are</w:t>
      </w:r>
      <w:bookmarkEnd w:id="61"/>
    </w:p>
    <w:p>
      <w:pPr>
        <w:pStyle w:val="FirstParagraph"/>
      </w:pPr>
      <w:r>
        <w:t xml:space="preserve">Credence &amp; Co. is a Dubai-based financial advisory firm focused on financial due diligence, corporate finance advisory, and transaction support for mid-market M&amp;A in the UAE and GCC.</w:t>
      </w:r>
    </w:p>
    <w:p>
      <w:pPr>
        <w:pStyle w:val="Heading2"/>
      </w:pPr>
      <w:bookmarkStart w:id="62" w:name="what-they-offer-2"/>
      <w:r>
        <w:t xml:space="preserve">What they offer</w:t>
      </w:r>
      <w:bookmarkEnd w:id="62"/>
    </w:p>
    <w:p>
      <w:pPr>
        <w:numPr>
          <w:ilvl w:val="0"/>
          <w:numId w:val="1018"/>
        </w:numPr>
        <w:pStyle w:val="Compact"/>
      </w:pPr>
      <w:r>
        <w:t xml:space="preserve">Financial due diligence (primarily buy-side)</w:t>
      </w:r>
    </w:p>
    <w:p>
      <w:pPr>
        <w:numPr>
          <w:ilvl w:val="0"/>
          <w:numId w:val="1018"/>
        </w:numPr>
        <w:pStyle w:val="Compact"/>
      </w:pPr>
      <w:r>
        <w:t xml:space="preserve">Corporate finance advisory</w:t>
      </w:r>
    </w:p>
    <w:p>
      <w:pPr>
        <w:numPr>
          <w:ilvl w:val="0"/>
          <w:numId w:val="1018"/>
        </w:numPr>
        <w:pStyle w:val="Compact"/>
      </w:pPr>
      <w:r>
        <w:t xml:space="preserve">Transaction support (deal structuring, execution, closing)</w:t>
      </w:r>
    </w:p>
    <w:p>
      <w:pPr>
        <w:numPr>
          <w:ilvl w:val="0"/>
          <w:numId w:val="1018"/>
        </w:numPr>
        <w:pStyle w:val="Compact"/>
      </w:pPr>
      <w:r>
        <w:t xml:space="preserve">Financial review and red flag analysis</w:t>
      </w:r>
    </w:p>
    <w:p>
      <w:pPr>
        <w:numPr>
          <w:ilvl w:val="0"/>
          <w:numId w:val="1018"/>
        </w:numPr>
        <w:pStyle w:val="Compact"/>
      </w:pPr>
      <w:r>
        <w:t xml:space="preserve">Tax advisory coordination with partner tax firms</w:t>
      </w:r>
    </w:p>
    <w:p>
      <w:pPr>
        <w:pStyle w:val="Heading2"/>
      </w:pPr>
      <w:bookmarkStart w:id="63" w:name="typical-engagement-2"/>
      <w:r>
        <w:t xml:space="preserve">Typical engagement</w:t>
      </w:r>
      <w:bookmarkEnd w:id="63"/>
    </w:p>
    <w:p>
      <w:pPr>
        <w:numPr>
          <w:ilvl w:val="0"/>
          <w:numId w:val="1019"/>
        </w:numPr>
        <w:pStyle w:val="Compact"/>
      </w:pPr>
      <w:r>
        <w:t xml:space="preserve">Transaction size served: USD 3M to USD 80M</w:t>
      </w:r>
    </w:p>
    <w:p>
      <w:pPr>
        <w:numPr>
          <w:ilvl w:val="0"/>
          <w:numId w:val="1019"/>
        </w:numPr>
        <w:pStyle w:val="Compact"/>
      </w:pPr>
      <w:r>
        <w:t xml:space="preserve">Engagement model: fixed fee by scope</w:t>
      </w:r>
    </w:p>
    <w:p>
      <w:pPr>
        <w:numPr>
          <w:ilvl w:val="0"/>
          <w:numId w:val="1019"/>
        </w:numPr>
        <w:pStyle w:val="Compact"/>
      </w:pPr>
      <w:r>
        <w:t xml:space="preserve">Project duration: 4 to 12 weeks per engagement</w:t>
      </w:r>
    </w:p>
    <w:p>
      <w:pPr>
        <w:pStyle w:val="Heading2"/>
      </w:pPr>
      <w:bookmarkStart w:id="64" w:name="pricing-2"/>
      <w:r>
        <w:t xml:space="preserve">Pricing</w:t>
      </w:r>
      <w:bookmarkEnd w:id="64"/>
    </w:p>
    <w:p>
      <w:pPr>
        <w:numPr>
          <w:ilvl w:val="0"/>
          <w:numId w:val="1020"/>
        </w:numPr>
        <w:pStyle w:val="Compact"/>
      </w:pPr>
      <w:r>
        <w:t xml:space="preserve">Financial DD engagement: USD 40,000 to USD 120,000</w:t>
      </w:r>
    </w:p>
    <w:p>
      <w:pPr>
        <w:numPr>
          <w:ilvl w:val="0"/>
          <w:numId w:val="1020"/>
        </w:numPr>
        <w:pStyle w:val="Compact"/>
      </w:pPr>
      <w:r>
        <w:t xml:space="preserve">Red flag review (lighter scope): USD 15,000 to USD 40,000</w:t>
      </w:r>
    </w:p>
    <w:p>
      <w:pPr>
        <w:numPr>
          <w:ilvl w:val="0"/>
          <w:numId w:val="1020"/>
        </w:numPr>
        <w:pStyle w:val="Compact"/>
      </w:pPr>
      <w:r>
        <w:t xml:space="preserve">Corporate finance retainer: USD 8,000 to USD 25,000 monthly</w:t>
      </w:r>
    </w:p>
    <w:p>
      <w:pPr>
        <w:numPr>
          <w:ilvl w:val="0"/>
          <w:numId w:val="1020"/>
        </w:numPr>
        <w:pStyle w:val="Compact"/>
      </w:pPr>
      <w:r>
        <w:t xml:space="preserve">Full transaction support: USD 100,000 to USD 250,000 per deal</w:t>
      </w:r>
    </w:p>
    <w:p>
      <w:pPr>
        <w:pStyle w:val="Heading2"/>
      </w:pPr>
      <w:bookmarkStart w:id="65" w:name="strengths-acknowledge-these-1"/>
      <w:r>
        <w:t xml:space="preserve">Strengths (acknowledge these)</w:t>
      </w:r>
      <w:bookmarkEnd w:id="65"/>
    </w:p>
    <w:p>
      <w:pPr>
        <w:numPr>
          <w:ilvl w:val="0"/>
          <w:numId w:val="1021"/>
        </w:numPr>
        <w:pStyle w:val="Compact"/>
      </w:pPr>
      <w:r>
        <w:t xml:space="preserve">Focused financial expertise, not generalist</w:t>
      </w:r>
    </w:p>
    <w:p>
      <w:pPr>
        <w:numPr>
          <w:ilvl w:val="0"/>
          <w:numId w:val="1021"/>
        </w:numPr>
        <w:pStyle w:val="Compact"/>
      </w:pPr>
      <w:r>
        <w:t xml:space="preserve">Reasonable pricing for financial-only DD (lighter scope than Kuvera’s combined FDD+CDD)</w:t>
      </w:r>
    </w:p>
    <w:p>
      <w:pPr>
        <w:numPr>
          <w:ilvl w:val="0"/>
          <w:numId w:val="1021"/>
        </w:numPr>
        <w:pStyle w:val="Compact"/>
      </w:pPr>
      <w:r>
        <w:t xml:space="preserve">Good at spotting accounting red flags</w:t>
      </w:r>
    </w:p>
    <w:p>
      <w:pPr>
        <w:numPr>
          <w:ilvl w:val="0"/>
          <w:numId w:val="1021"/>
        </w:numPr>
        <w:pStyle w:val="Compact"/>
      </w:pPr>
      <w:r>
        <w:t xml:space="preserve">Efficient for mid-market deal sizes</w:t>
      </w:r>
    </w:p>
    <w:p>
      <w:pPr>
        <w:numPr>
          <w:ilvl w:val="0"/>
          <w:numId w:val="1021"/>
        </w:numPr>
        <w:pStyle w:val="Compact"/>
      </w:pPr>
      <w:r>
        <w:t xml:space="preserve">Strong when financial numbers are the primary concern</w:t>
      </w:r>
    </w:p>
    <w:p>
      <w:pPr>
        <w:pStyle w:val="Heading2"/>
      </w:pPr>
      <w:bookmarkStart w:id="66" w:name="weaknesses-where-gci-wins-2"/>
      <w:r>
        <w:t xml:space="preserve">Weaknesses (where GCI wins)</w:t>
      </w:r>
      <w:bookmarkEnd w:id="66"/>
    </w:p>
    <w:p>
      <w:pPr>
        <w:numPr>
          <w:ilvl w:val="0"/>
          <w:numId w:val="1022"/>
        </w:numPr>
        <w:pStyle w:val="Compact"/>
      </w:pPr>
      <w:r>
        <w:rPr>
          <w:b/>
        </w:rPr>
        <w:t xml:space="preserve">Financial-only scope:</w:t>
      </w:r>
      <w:r>
        <w:t xml:space="preserve"> </w:t>
      </w:r>
      <w:r>
        <w:t xml:space="preserve">Credence covers the P&amp;L and balance sheet. GCI covers the full investment thesis including macro, sector, location, competitive, regulatory, operational, financial, and exit.</w:t>
      </w:r>
    </w:p>
    <w:p>
      <w:pPr>
        <w:numPr>
          <w:ilvl w:val="0"/>
          <w:numId w:val="1022"/>
        </w:numPr>
        <w:pStyle w:val="Compact"/>
      </w:pPr>
      <w:r>
        <w:rPr>
          <w:b/>
        </w:rPr>
        <w:t xml:space="preserve">No strategic intelligence:</w:t>
      </w:r>
      <w:r>
        <w:t xml:space="preserve"> </w:t>
      </w:r>
      <w:r>
        <w:t xml:space="preserve">Credence tells you if the financials are sound. GCI tells you if the thesis is sound (which can fail even with sound financials).</w:t>
      </w:r>
    </w:p>
    <w:p>
      <w:pPr>
        <w:numPr>
          <w:ilvl w:val="0"/>
          <w:numId w:val="1022"/>
        </w:numPr>
        <w:pStyle w:val="Compact"/>
      </w:pPr>
      <w:r>
        <w:rPr>
          <w:b/>
        </w:rPr>
        <w:t xml:space="preserve">Serial engagement model:</w:t>
      </w:r>
      <w:r>
        <w:t xml:space="preserve"> </w:t>
      </w:r>
      <w:r>
        <w:t xml:space="preserve">Each deal is a separate engagement. GCI retainer covers unlimited screening.</w:t>
      </w:r>
    </w:p>
    <w:p>
      <w:pPr>
        <w:numPr>
          <w:ilvl w:val="0"/>
          <w:numId w:val="1022"/>
        </w:numPr>
        <w:pStyle w:val="Compact"/>
      </w:pPr>
      <w:r>
        <w:rPr>
          <w:b/>
        </w:rPr>
        <w:t xml:space="preserve">No published methodology:</w:t>
      </w:r>
      <w:r>
        <w:t xml:space="preserve"> </w:t>
      </w:r>
      <w:r>
        <w:t xml:space="preserve">Boutique firm with internal frameworks not disclosed publicly.</w:t>
      </w:r>
    </w:p>
    <w:p>
      <w:pPr>
        <w:numPr>
          <w:ilvl w:val="0"/>
          <w:numId w:val="1022"/>
        </w:numPr>
        <w:pStyle w:val="Compact"/>
      </w:pPr>
      <w:r>
        <w:rPr>
          <w:b/>
        </w:rPr>
        <w:t xml:space="preserve">Sector depth varies:</w:t>
      </w:r>
      <w:r>
        <w:t xml:space="preserve"> </w:t>
      </w:r>
      <w:r>
        <w:t xml:space="preserve">Credence strength is in financial review across sectors; GCI’s Conviction Engine has sector-specific sub-modules with benchmarks.</w:t>
      </w:r>
    </w:p>
    <w:p>
      <w:pPr>
        <w:pStyle w:val="Heading2"/>
      </w:pPr>
      <w:bookmarkStart w:id="67" w:name="why-gci-wins-head-to-head-2"/>
      <w:r>
        <w:t xml:space="preserve">Why GCI wins head-to-head</w:t>
      </w:r>
      <w:bookmarkEnd w:id="67"/>
    </w:p>
    <w:p>
      <w:pPr>
        <w:pStyle w:val="FirstParagraph"/>
      </w:pPr>
      <w:r>
        <w:t xml:space="preserve">Use these 3 talking points:</w:t>
      </w:r>
    </w:p>
    <w:p>
      <w:pPr>
        <w:numPr>
          <w:ilvl w:val="0"/>
          <w:numId w:val="1023"/>
        </w:numPr>
      </w:pPr>
      <w:r>
        <w:rPr>
          <w:b/>
        </w:rPr>
        <w:t xml:space="preserve">“</w:t>
      </w:r>
      <w:r>
        <w:rPr>
          <w:b/>
        </w:rPr>
        <w:t xml:space="preserve">Credence checks the financials. We pressure-test the thesis.</w:t>
      </w:r>
      <w:r>
        <w:rPr>
          <w:b/>
        </w:rPr>
        <w:t xml:space="preserve">”</w:t>
      </w:r>
      <w:r>
        <w:t xml:space="preserve"> </w:t>
      </w:r>
      <w:r>
        <w:t xml:space="preserve">Financial DD is necessary but not sufficient. A deal can have clean financials and still be a bad decision if the market is shifting, the operator is leaving, or the regulatory window is closing. GCI covers both.</w:t>
      </w:r>
    </w:p>
    <w:p>
      <w:pPr>
        <w:numPr>
          <w:ilvl w:val="0"/>
          <w:numId w:val="1023"/>
        </w:numPr>
      </w:pPr>
      <w:r>
        <w:rPr>
          <w:b/>
        </w:rPr>
        <w:t xml:space="preserve">“</w:t>
      </w:r>
      <w:r>
        <w:rPr>
          <w:b/>
        </w:rPr>
        <w:t xml:space="preserve">Our methodology is public. Theirs is private.</w:t>
      </w:r>
      <w:r>
        <w:rPr>
          <w:b/>
        </w:rPr>
        <w:t xml:space="preserve">”</w:t>
      </w:r>
      <w:r>
        <w:t xml:space="preserve"> </w:t>
      </w:r>
      <w:r>
        <w:t xml:space="preserve">Credence is a boutique firm with internal analytical approaches. GCI’s 5-stage pipeline, 3 AI engines, and 5-tier evidence system are documented and auditable. For institutional buyers requiring audit-grade process, transparency matters.</w:t>
      </w:r>
    </w:p>
    <w:p>
      <w:pPr>
        <w:numPr>
          <w:ilvl w:val="0"/>
          <w:numId w:val="1023"/>
        </w:numPr>
      </w:pPr>
      <w:r>
        <w:rPr>
          <w:b/>
        </w:rPr>
        <w:t xml:space="preserve">“</w:t>
      </w:r>
      <w:r>
        <w:rPr>
          <w:b/>
        </w:rPr>
        <w:t xml:space="preserve">At USD 499, we fit the screening budget. At USD 40,000+, Credence fits the commit budget.</w:t>
      </w:r>
      <w:r>
        <w:rPr>
          <w:b/>
        </w:rPr>
        <w:t xml:space="preserve">”</w:t>
      </w:r>
      <w:r>
        <w:t xml:space="preserve"> </w:t>
      </w:r>
      <w:r>
        <w:t xml:space="preserve">Different stages of the decision. Family offices running 10-to-20-deal pipelines can’t afford Credence on everything. They screen with us, commit with a firm like Credence on the final one.</w:t>
      </w:r>
    </w:p>
    <w:p>
      <w:pPr>
        <w:pStyle w:val="Heading2"/>
      </w:pPr>
      <w:bookmarkStart w:id="68" w:name="objection-handling-2"/>
      <w:r>
        <w:t xml:space="preserve">Objection handling</w:t>
      </w:r>
      <w:bookmarkEnd w:id="68"/>
    </w:p>
    <w:p>
      <w:pPr>
        <w:pStyle w:val="FirstParagraph"/>
      </w:pPr>
      <w:r>
        <w:rPr>
          <w:b/>
        </w:rPr>
        <w:t xml:space="preserve">“</w:t>
      </w:r>
      <w:r>
        <w:rPr>
          <w:b/>
        </w:rPr>
        <w:t xml:space="preserve">Credence is already doing our financials.</w:t>
      </w:r>
      <w:r>
        <w:rPr>
          <w:b/>
        </w:rPr>
        <w:t xml:space="preserve">”</w:t>
      </w:r>
      <w:r>
        <w:br/>
      </w:r>
      <w:r>
        <w:rPr>
          <w:i/>
        </w:rPr>
        <w:t xml:space="preserve">Response:</w:t>
      </w:r>
      <w:r>
        <w:t xml:space="preserve"> </w:t>
      </w:r>
      <w:r>
        <w:t xml:space="preserve">“</w:t>
      </w:r>
      <w:r>
        <w:t xml:space="preserve">Perfect, keep them. They will tell you if the numbers are clean. We tell you if the strategy is correct. Different tools, they complement. On the one deal where Credence has spent USD 60,000, we’ve run 20 other deals through Conviction Reports at USD 499 each to make sure you picked the right one first.</w:t>
      </w:r>
      <w:r>
        <w:t xml:space="preserve">”</w:t>
      </w:r>
    </w:p>
    <w:p>
      <w:pPr>
        <w:pStyle w:val="BodyText"/>
      </w:pPr>
      <w:r>
        <w:rPr>
          <w:b/>
        </w:rPr>
        <w:t xml:space="preserve">“</w:t>
      </w:r>
      <w:r>
        <w:rPr>
          <w:b/>
        </w:rPr>
        <w:t xml:space="preserve">Credence is in Dubai, you’re in Dubai, what’s the real difference?</w:t>
      </w:r>
      <w:r>
        <w:rPr>
          <w:b/>
        </w:rPr>
        <w:t xml:space="preserve">”</w:t>
      </w:r>
      <w:r>
        <w:br/>
      </w:r>
      <w:r>
        <w:rPr>
          <w:i/>
        </w:rPr>
        <w:t xml:space="preserve">Response:</w:t>
      </w:r>
      <w:r>
        <w:t xml:space="preserve"> </w:t>
      </w:r>
      <w:r>
        <w:t xml:space="preserve">“</w:t>
      </w:r>
      <w:r>
        <w:t xml:space="preserve">Product tier. Credence is a boutique financial advisory firm selling human-expert hours on one deal. We’re an intelligence platform selling institutional-grade analysis at software economics. Both valuable. Different buyer jobs to be done.</w:t>
      </w:r>
      <w:r>
        <w:t xml:space="preserve">”</w:t>
      </w:r>
    </w:p>
    <w:p>
      <w:pPr>
        <w:pStyle w:val="BodyText"/>
      </w:pPr>
      <w:r>
        <w:rPr>
          <w:b/>
        </w:rPr>
        <w:t xml:space="preserve">“</w:t>
      </w:r>
      <w:r>
        <w:rPr>
          <w:b/>
        </w:rPr>
        <w:t xml:space="preserve">Can we use both?</w:t>
      </w:r>
      <w:r>
        <w:rPr>
          <w:b/>
        </w:rPr>
        <w:t xml:space="preserve">”</w:t>
      </w:r>
      <w:r>
        <w:br/>
      </w:r>
      <w:r>
        <w:rPr>
          <w:i/>
        </w:rPr>
        <w:t xml:space="preserve">Response:</w:t>
      </w:r>
      <w:r>
        <w:t xml:space="preserve"> </w:t>
      </w:r>
      <w:r>
        <w:t xml:space="preserve">“</w:t>
      </w:r>
      <w:r>
        <w:t xml:space="preserve">Yes, and that’s the typical pattern. Our Conviction Report lands in 3 to 5 days. If the verdict is PROCEED, that’s when Credence-tier financial DD is worth the USD 60,000 spend. If the verdict is AVOID, you’ve saved the USD 60,000. Either way you win.</w:t>
      </w:r>
      <w:r>
        <w:t xml:space="preserve">”</w:t>
      </w:r>
    </w:p>
    <w:p>
      <w:pPr>
        <w:pStyle w:val="Heading2"/>
      </w:pPr>
      <w:bookmarkStart w:id="69" w:name="deal-log-fill-in-over-time-2"/>
      <w:r>
        <w:t xml:space="preserve">Deal log (fill in over time)</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Deal</w:t>
            </w:r>
          </w:p>
        </w:tc>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Notes</w:t>
            </w:r>
          </w:p>
        </w:tc>
      </w:tr>
      <w:tr>
        <w:tc>
          <w:p>
            <w:pPr>
              <w:pStyle w:val="Compact"/>
              <w:jc w:val="left"/>
            </w:pPr>
            <w:r>
              <w:t xml:space="preserve">2026-04</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2"/>
      </w:pPr>
      <w:bookmarkStart w:id="70" w:name="intel-to-gather-2"/>
      <w:r>
        <w:t xml:space="preserve">Intel to gather</w:t>
      </w:r>
      <w:bookmarkEnd w:id="70"/>
    </w:p>
    <w:p>
      <w:pPr>
        <w:numPr>
          <w:ilvl w:val="0"/>
          <w:numId w:val="1024"/>
        </w:numPr>
        <w:pStyle w:val="Compact"/>
      </w:pPr>
      <w:r>
        <w:t xml:space="preserve">Typical team size on engagement (1 partner + 1 to 3 associates?)</w:t>
      </w:r>
    </w:p>
    <w:p>
      <w:pPr>
        <w:numPr>
          <w:ilvl w:val="0"/>
          <w:numId w:val="1024"/>
        </w:numPr>
        <w:pStyle w:val="Compact"/>
      </w:pPr>
      <w:r>
        <w:t xml:space="preserve">Red flag review vs full DD fee delta (standardise our positioning)</w:t>
      </w:r>
    </w:p>
    <w:p>
      <w:pPr>
        <w:numPr>
          <w:ilvl w:val="0"/>
          <w:numId w:val="1024"/>
        </w:numPr>
        <w:pStyle w:val="Compact"/>
      </w:pPr>
      <w:r>
        <w:t xml:space="preserve">Sector depth (are they equally good at hospitality, healthcare, real estate?)</w:t>
      </w:r>
    </w:p>
    <w:p>
      <w:pPr>
        <w:numPr>
          <w:ilvl w:val="0"/>
          <w:numId w:val="1024"/>
        </w:numPr>
        <w:pStyle w:val="Compact"/>
      </w:pPr>
      <w:r>
        <w:t xml:space="preserve">Typical client profile (family offices? PE funds? strategic buyers?)</w:t>
      </w:r>
    </w:p>
    <w:p>
      <w:pPr>
        <w:numPr>
          <w:ilvl w:val="0"/>
          <w:numId w:val="1024"/>
        </w:numPr>
        <w:pStyle w:val="Compact"/>
      </w:pPr>
      <w:r>
        <w:t xml:space="preserve">Any known GCC-specific published research</w:t>
      </w:r>
    </w:p>
    <w:p>
      <w:pPr>
        <w:pStyle w:val="Heading1"/>
      </w:pPr>
      <w:bookmarkStart w:id="71" w:name="battlecard-04-charterhouse-partners"/>
      <w:r>
        <w:t xml:space="preserve">Battlecard 04: Charterhouse Partners</w:t>
      </w:r>
      <w:bookmarkEnd w:id="71"/>
    </w:p>
    <w:p>
      <w:pPr>
        <w:pStyle w:val="FirstParagraph"/>
      </w:pPr>
      <w:r>
        <w:rPr>
          <w:b/>
        </w:rPr>
        <w:t xml:space="preserve">Last updated:</w:t>
      </w:r>
      <w:r>
        <w:t xml:space="preserve"> </w:t>
      </w:r>
      <w:r>
        <w:t xml:space="preserve">2026-04-24</w:t>
      </w:r>
      <w:r>
        <w:br/>
      </w:r>
      <w:r>
        <w:rPr>
          <w:b/>
        </w:rPr>
        <w:t xml:space="preserve">Classification:</w:t>
      </w:r>
      <w:r>
        <w:t xml:space="preserve"> </w:t>
      </w:r>
      <w:r>
        <w:t xml:space="preserve">INTERNAL ONLY</w:t>
      </w:r>
    </w:p>
    <w:p>
      <w:pPr>
        <w:pStyle w:val="Heading2"/>
      </w:pPr>
      <w:bookmarkStart w:id="72" w:name="who-they-are-3"/>
      <w:r>
        <w:t xml:space="preserve">Who they are</w:t>
      </w:r>
      <w:bookmarkEnd w:id="72"/>
    </w:p>
    <w:p>
      <w:pPr>
        <w:pStyle w:val="FirstParagraph"/>
      </w:pPr>
      <w:r>
        <w:t xml:space="preserve">Charterhouse Partners is a UAE-based executive search and advisory firm with a corporate finance and investment advisory arm. Primarily known for senior leadership recruitment in financial services, they also do partial transaction advisory.</w:t>
      </w:r>
    </w:p>
    <w:p>
      <w:pPr>
        <w:pStyle w:val="Heading2"/>
      </w:pPr>
      <w:bookmarkStart w:id="73" w:name="what-they-offer-3"/>
      <w:r>
        <w:t xml:space="preserve">What they offer</w:t>
      </w:r>
      <w:bookmarkEnd w:id="73"/>
    </w:p>
    <w:p>
      <w:pPr>
        <w:numPr>
          <w:ilvl w:val="0"/>
          <w:numId w:val="1025"/>
        </w:numPr>
        <w:pStyle w:val="Compact"/>
      </w:pPr>
      <w:r>
        <w:t xml:space="preserve">Executive search for senior finance, banking, and investment professionals</w:t>
      </w:r>
    </w:p>
    <w:p>
      <w:pPr>
        <w:numPr>
          <w:ilvl w:val="0"/>
          <w:numId w:val="1025"/>
        </w:numPr>
        <w:pStyle w:val="Compact"/>
      </w:pPr>
      <w:r>
        <w:t xml:space="preserve">Advisory for founder-led businesses considering exits</w:t>
      </w:r>
    </w:p>
    <w:p>
      <w:pPr>
        <w:numPr>
          <w:ilvl w:val="0"/>
          <w:numId w:val="1025"/>
        </w:numPr>
        <w:pStyle w:val="Compact"/>
      </w:pPr>
      <w:r>
        <w:t xml:space="preserve">Partial M&amp;A advisory (introductions, structuring support)</w:t>
      </w:r>
    </w:p>
    <w:p>
      <w:pPr>
        <w:numPr>
          <w:ilvl w:val="0"/>
          <w:numId w:val="1025"/>
        </w:numPr>
        <w:pStyle w:val="Compact"/>
      </w:pPr>
      <w:r>
        <w:t xml:space="preserve">Board advisory for family businesses transitioning leadership</w:t>
      </w:r>
    </w:p>
    <w:p>
      <w:pPr>
        <w:pStyle w:val="Heading2"/>
      </w:pPr>
      <w:bookmarkStart w:id="74" w:name="typical-engagement-3"/>
      <w:r>
        <w:t xml:space="preserve">Typical engagement</w:t>
      </w:r>
      <w:bookmarkEnd w:id="74"/>
    </w:p>
    <w:p>
      <w:pPr>
        <w:numPr>
          <w:ilvl w:val="0"/>
          <w:numId w:val="1026"/>
        </w:numPr>
        <w:pStyle w:val="Compact"/>
      </w:pPr>
      <w:r>
        <w:t xml:space="preserve">Executive search fee: typically 25 to 33 percent of first-year total compensation</w:t>
      </w:r>
    </w:p>
    <w:p>
      <w:pPr>
        <w:numPr>
          <w:ilvl w:val="0"/>
          <w:numId w:val="1026"/>
        </w:numPr>
        <w:pStyle w:val="Compact"/>
      </w:pPr>
      <w:r>
        <w:t xml:space="preserve">Advisory engagements: retainer plus success fee</w:t>
      </w:r>
    </w:p>
    <w:p>
      <w:pPr>
        <w:numPr>
          <w:ilvl w:val="0"/>
          <w:numId w:val="1026"/>
        </w:numPr>
        <w:pStyle w:val="Compact"/>
      </w:pPr>
      <w:r>
        <w:t xml:space="preserve">Project duration: 3 to 12 months depending on scope</w:t>
      </w:r>
    </w:p>
    <w:p>
      <w:pPr>
        <w:pStyle w:val="Heading2"/>
      </w:pPr>
      <w:bookmarkStart w:id="75" w:name="pricing-3"/>
      <w:r>
        <w:t xml:space="preserve">Pricing</w:t>
      </w:r>
      <w:bookmarkEnd w:id="75"/>
    </w:p>
    <w:p>
      <w:pPr>
        <w:numPr>
          <w:ilvl w:val="0"/>
          <w:numId w:val="1027"/>
        </w:numPr>
        <w:pStyle w:val="Compact"/>
      </w:pPr>
      <w:r>
        <w:t xml:space="preserve">Executive search (CIO level): USD 70,000 to USD 180,000</w:t>
      </w:r>
    </w:p>
    <w:p>
      <w:pPr>
        <w:numPr>
          <w:ilvl w:val="0"/>
          <w:numId w:val="1027"/>
        </w:numPr>
        <w:pStyle w:val="Compact"/>
      </w:pPr>
      <w:r>
        <w:t xml:space="preserve">Exit advisory (founder-led business USD 10M to USD 50M): USD 50,000 to USD 150,000 retainer plus success fee</w:t>
      </w:r>
    </w:p>
    <w:p>
      <w:pPr>
        <w:numPr>
          <w:ilvl w:val="0"/>
          <w:numId w:val="1027"/>
        </w:numPr>
        <w:pStyle w:val="Compact"/>
      </w:pPr>
      <w:r>
        <w:t xml:space="preserve">Board advisory: USD 5,000 to USD 20,000 monthly</w:t>
      </w:r>
    </w:p>
    <w:p>
      <w:pPr>
        <w:pStyle w:val="Heading2"/>
      </w:pPr>
      <w:bookmarkStart w:id="76" w:name="strengths-acknowledge-these-2"/>
      <w:r>
        <w:t xml:space="preserve">Strengths (acknowledge these)</w:t>
      </w:r>
      <w:bookmarkEnd w:id="76"/>
    </w:p>
    <w:p>
      <w:pPr>
        <w:numPr>
          <w:ilvl w:val="0"/>
          <w:numId w:val="1028"/>
        </w:numPr>
        <w:pStyle w:val="Compact"/>
      </w:pPr>
      <w:r>
        <w:t xml:space="preserve">Long-standing network in UAE financial services</w:t>
      </w:r>
    </w:p>
    <w:p>
      <w:pPr>
        <w:numPr>
          <w:ilvl w:val="0"/>
          <w:numId w:val="1028"/>
        </w:numPr>
        <w:pStyle w:val="Compact"/>
      </w:pPr>
      <w:r>
        <w:t xml:space="preserve">Strong at founder-led exit advisory where human relationship matters</w:t>
      </w:r>
    </w:p>
    <w:p>
      <w:pPr>
        <w:numPr>
          <w:ilvl w:val="0"/>
          <w:numId w:val="1028"/>
        </w:numPr>
        <w:pStyle w:val="Compact"/>
      </w:pPr>
      <w:r>
        <w:t xml:space="preserve">Executive search expertise for family offices hiring CIOs and senior staff</w:t>
      </w:r>
    </w:p>
    <w:p>
      <w:pPr>
        <w:numPr>
          <w:ilvl w:val="0"/>
          <w:numId w:val="1028"/>
        </w:numPr>
        <w:pStyle w:val="Compact"/>
      </w:pPr>
      <w:r>
        <w:t xml:space="preserve">Well connected with UAE boards and advisory circles</w:t>
      </w:r>
    </w:p>
    <w:p>
      <w:pPr>
        <w:numPr>
          <w:ilvl w:val="0"/>
          <w:numId w:val="1028"/>
        </w:numPr>
        <w:pStyle w:val="Compact"/>
      </w:pPr>
      <w:r>
        <w:t xml:space="preserve">Complementary to what GCI does rather than competitive</w:t>
      </w:r>
    </w:p>
    <w:p>
      <w:pPr>
        <w:pStyle w:val="Heading2"/>
      </w:pPr>
      <w:bookmarkStart w:id="77" w:name="weaknesses-where-gci-is-different"/>
      <w:r>
        <w:t xml:space="preserve">Weaknesses (where GCI is different)</w:t>
      </w:r>
      <w:bookmarkEnd w:id="77"/>
    </w:p>
    <w:p>
      <w:pPr>
        <w:numPr>
          <w:ilvl w:val="0"/>
          <w:numId w:val="1029"/>
        </w:numPr>
        <w:pStyle w:val="Compact"/>
      </w:pPr>
      <w:r>
        <w:rPr>
          <w:b/>
        </w:rPr>
        <w:t xml:space="preserve">Not investment intelligence:</w:t>
      </w:r>
      <w:r>
        <w:t xml:space="preserve"> </w:t>
      </w:r>
      <w:r>
        <w:t xml:space="preserve">Charterhouse is recruiting and light advisory. GCI is investment decision analysis. We are not in the same category.</w:t>
      </w:r>
    </w:p>
    <w:p>
      <w:pPr>
        <w:numPr>
          <w:ilvl w:val="0"/>
          <w:numId w:val="1029"/>
        </w:numPr>
        <w:pStyle w:val="Compact"/>
      </w:pPr>
      <w:r>
        <w:rPr>
          <w:b/>
        </w:rPr>
        <w:t xml:space="preserve">No deal analytics:</w:t>
      </w:r>
      <w:r>
        <w:t xml:space="preserve"> </w:t>
      </w:r>
      <w:r>
        <w:t xml:space="preserve">No methodology for pressure-testing investment theses.</w:t>
      </w:r>
    </w:p>
    <w:p>
      <w:pPr>
        <w:numPr>
          <w:ilvl w:val="0"/>
          <w:numId w:val="1029"/>
        </w:numPr>
        <w:pStyle w:val="Compact"/>
      </w:pPr>
      <w:r>
        <w:rPr>
          <w:b/>
        </w:rPr>
        <w:t xml:space="preserve">Service business:</w:t>
      </w:r>
      <w:r>
        <w:t xml:space="preserve"> </w:t>
      </w:r>
      <w:r>
        <w:t xml:space="preserve">Priced per human engagement, not per decision or per insight.</w:t>
      </w:r>
    </w:p>
    <w:p>
      <w:pPr>
        <w:pStyle w:val="Heading2"/>
      </w:pPr>
      <w:bookmarkStart w:id="78" w:name="X3ee7fccaece00ffc1d4e968046902c09cd99b22"/>
      <w:r>
        <w:t xml:space="preserve">Why GCI is different (not</w:t>
      </w:r>
      <w:r>
        <w:t xml:space="preserve"> </w:t>
      </w:r>
      <w:r>
        <w:t xml:space="preserve">“</w:t>
      </w:r>
      <w:r>
        <w:t xml:space="preserve">wins</w:t>
      </w:r>
      <w:r>
        <w:t xml:space="preserve">”</w:t>
      </w:r>
      <w:r>
        <w:t xml:space="preserve"> </w:t>
      </w:r>
      <w:r>
        <w:t xml:space="preserve">here - different category)</w:t>
      </w:r>
      <w:bookmarkEnd w:id="78"/>
    </w:p>
    <w:p>
      <w:pPr>
        <w:pStyle w:val="FirstParagraph"/>
      </w:pPr>
      <w:r>
        <w:t xml:space="preserve">Use these 2 talking points (framed as complement, not competition):</w:t>
      </w:r>
    </w:p>
    <w:p>
      <w:pPr>
        <w:numPr>
          <w:ilvl w:val="0"/>
          <w:numId w:val="1030"/>
        </w:numPr>
      </w:pPr>
      <w:r>
        <w:rPr>
          <w:b/>
        </w:rPr>
        <w:t xml:space="preserve">“</w:t>
      </w:r>
      <w:r>
        <w:rPr>
          <w:b/>
        </w:rPr>
        <w:t xml:space="preserve">Charterhouse finds the CIO. We give the CIO a tool.</w:t>
      </w:r>
      <w:r>
        <w:rPr>
          <w:b/>
        </w:rPr>
        <w:t xml:space="preserve">”</w:t>
      </w:r>
      <w:r>
        <w:t xml:space="preserve"> </w:t>
      </w:r>
      <w:r>
        <w:t xml:space="preserve">Family offices that hire a CIO through Charterhouse often immediately subscribe to GCI because the new CIO needs institutional-grade intelligence infrastructure to do the job. Different tools in the same pipeline.</w:t>
      </w:r>
    </w:p>
    <w:p>
      <w:pPr>
        <w:numPr>
          <w:ilvl w:val="0"/>
          <w:numId w:val="1030"/>
        </w:numPr>
      </w:pPr>
      <w:r>
        <w:rPr>
          <w:b/>
        </w:rPr>
        <w:t xml:space="preserve">“</w:t>
      </w:r>
      <w:r>
        <w:rPr>
          <w:b/>
        </w:rPr>
        <w:t xml:space="preserve">Exit advisory is not GCC intelligence.</w:t>
      </w:r>
      <w:r>
        <w:rPr>
          <w:b/>
        </w:rPr>
        <w:t xml:space="preserve">”</w:t>
      </w:r>
      <w:r>
        <w:t xml:space="preserve"> </w:t>
      </w:r>
      <w:r>
        <w:t xml:space="preserve">Charterhouse helps a founder exit their own business. GCI helps allocators decide whether to buy into someone else’s business. Opposite side of the transaction.</w:t>
      </w:r>
    </w:p>
    <w:p>
      <w:pPr>
        <w:pStyle w:val="Heading2"/>
      </w:pPr>
      <w:bookmarkStart w:id="79" w:name="objection-handling-3"/>
      <w:r>
        <w:t xml:space="preserve">Objection handling</w:t>
      </w:r>
      <w:bookmarkEnd w:id="79"/>
    </w:p>
    <w:p>
      <w:pPr>
        <w:pStyle w:val="FirstParagraph"/>
      </w:pPr>
      <w:r>
        <w:rPr>
          <w:b/>
        </w:rPr>
        <w:t xml:space="preserve">“</w:t>
      </w:r>
      <w:r>
        <w:rPr>
          <w:b/>
        </w:rPr>
        <w:t xml:space="preserve">Charterhouse already advises us on the deal.</w:t>
      </w:r>
      <w:r>
        <w:rPr>
          <w:b/>
        </w:rPr>
        <w:t xml:space="preserve">”</w:t>
      </w:r>
      <w:r>
        <w:br/>
      </w:r>
      <w:r>
        <w:rPr>
          <w:i/>
        </w:rPr>
        <w:t xml:space="preserve">Response:</w:t>
      </w:r>
      <w:r>
        <w:t xml:space="preserve"> </w:t>
      </w:r>
      <w:r>
        <w:t xml:space="preserve">“</w:t>
      </w:r>
      <w:r>
        <w:t xml:space="preserve">If Charterhouse is advising on an exit where you are the seller, we’re not relevant. If they are advising on something you are buying, we pressure-test the thesis independently. Two different tools.</w:t>
      </w:r>
      <w:r>
        <w:t xml:space="preserve">”</w:t>
      </w:r>
    </w:p>
    <w:p>
      <w:pPr>
        <w:pStyle w:val="BodyText"/>
      </w:pPr>
      <w:r>
        <w:rPr>
          <w:b/>
        </w:rPr>
        <w:t xml:space="preserve">“</w:t>
      </w:r>
      <w:r>
        <w:rPr>
          <w:b/>
        </w:rPr>
        <w:t xml:space="preserve">Charterhouse is more senior / well connected.</w:t>
      </w:r>
      <w:r>
        <w:rPr>
          <w:b/>
        </w:rPr>
        <w:t xml:space="preserve">”</w:t>
      </w:r>
      <w:r>
        <w:br/>
      </w:r>
      <w:r>
        <w:rPr>
          <w:i/>
        </w:rPr>
        <w:t xml:space="preserve">Response:</w:t>
      </w:r>
      <w:r>
        <w:t xml:space="preserve"> </w:t>
      </w:r>
      <w:r>
        <w:t xml:space="preserve">“</w:t>
      </w:r>
      <w:r>
        <w:t xml:space="preserve">Agreed, for recruitment and advisory on specific transactions. But the tools are different. You don’t hire Charterhouse to do FDD on 20 deals; you don’t hire GCI to find your next CIO. We both serve the family office, in different ways.</w:t>
      </w:r>
      <w:r>
        <w:t xml:space="preserve">”</w:t>
      </w:r>
    </w:p>
    <w:p>
      <w:pPr>
        <w:pStyle w:val="Heading2"/>
      </w:pPr>
      <w:bookmarkStart w:id="80" w:name="X3c8c06c289873a9af75d1059c04e2ee0d79dd39"/>
      <w:r>
        <w:t xml:space="preserve">When to position as partner, not competitor</w:t>
      </w:r>
      <w:bookmarkEnd w:id="80"/>
    </w:p>
    <w:p>
      <w:pPr>
        <w:pStyle w:val="FirstParagraph"/>
      </w:pPr>
      <w:r>
        <w:t xml:space="preserve">Charterhouse could be a referral partner, not a competitor:</w:t>
      </w:r>
      <w:r>
        <w:t xml:space="preserve"> </w:t>
      </w:r>
      <w:r>
        <w:t xml:space="preserve">- Charterhouse places a CIO at a family office</w:t>
      </w:r>
      <w:r>
        <w:t xml:space="preserve"> </w:t>
      </w:r>
      <w:r>
        <w:t xml:space="preserve">- That CIO needs analytical infrastructure</w:t>
      </w:r>
      <w:r>
        <w:t xml:space="preserve"> </w:t>
      </w:r>
      <w:r>
        <w:t xml:space="preserve">- GCI is introduced as the natural next step</w:t>
      </w:r>
      <w:r>
        <w:t xml:space="preserve"> </w:t>
      </w:r>
      <w:r>
        <w:t xml:space="preserve">- Referral relationship could benefit both sides</w:t>
      </w:r>
    </w:p>
    <w:p>
      <w:pPr>
        <w:pStyle w:val="BodyText"/>
      </w:pPr>
      <w:r>
        <w:t xml:space="preserve">Consider a partnership outreach. See</w:t>
      </w:r>
      <w:r>
        <w:t xml:space="preserve"> </w:t>
      </w:r>
      <w:r>
        <w:rPr>
          <w:rStyle w:val="VerbatimChar"/>
        </w:rPr>
        <w:t xml:space="preserve">outreach/BACKLINK-EMAIL-TEMPLATES.md</w:t>
      </w:r>
      <w:r>
        <w:t xml:space="preserve"> </w:t>
      </w:r>
      <w:r>
        <w:t xml:space="preserve">Template 8 for partnership pitch framework.</w:t>
      </w:r>
    </w:p>
    <w:p>
      <w:pPr>
        <w:pStyle w:val="Heading2"/>
      </w:pPr>
      <w:bookmarkStart w:id="81" w:name="deal-log-fill-in-over-time-3"/>
      <w:r>
        <w:t xml:space="preserve">Deal log (fill in over time)</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Deal</w:t>
            </w:r>
          </w:p>
        </w:tc>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Notes</w:t>
            </w:r>
          </w:p>
        </w:tc>
      </w:tr>
      <w:tr>
        <w:tc>
          <w:p>
            <w:pPr>
              <w:pStyle w:val="Compact"/>
              <w:jc w:val="left"/>
            </w:pPr>
            <w:r>
              <w:t xml:space="preserve">2026-04</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2"/>
      </w:pPr>
      <w:bookmarkStart w:id="82" w:name="intel-to-gather-3"/>
      <w:r>
        <w:t xml:space="preserve">Intel to gather</w:t>
      </w:r>
      <w:bookmarkEnd w:id="82"/>
    </w:p>
    <w:p>
      <w:pPr>
        <w:numPr>
          <w:ilvl w:val="0"/>
          <w:numId w:val="1031"/>
        </w:numPr>
        <w:pStyle w:val="Compact"/>
      </w:pPr>
      <w:r>
        <w:t xml:space="preserve">Whether Charterhouse has any partnerships with analytical platforms already</w:t>
      </w:r>
    </w:p>
    <w:p>
      <w:pPr>
        <w:numPr>
          <w:ilvl w:val="0"/>
          <w:numId w:val="1031"/>
        </w:numPr>
        <w:pStyle w:val="Compact"/>
      </w:pPr>
      <w:r>
        <w:t xml:space="preserve">Named contacts at Charterhouse who work with family offices</w:t>
      </w:r>
    </w:p>
    <w:p>
      <w:pPr>
        <w:numPr>
          <w:ilvl w:val="0"/>
          <w:numId w:val="1031"/>
        </w:numPr>
        <w:pStyle w:val="Compact"/>
      </w:pPr>
      <w:r>
        <w:t xml:space="preserve">Recent CIO placements that might be receptive to GCI tool introduction</w:t>
      </w:r>
    </w:p>
    <w:p>
      <w:pPr>
        <w:numPr>
          <w:ilvl w:val="0"/>
          <w:numId w:val="1031"/>
        </w:numPr>
        <w:pStyle w:val="Compact"/>
      </w:pPr>
      <w:r>
        <w:t xml:space="preserve">Any joint events with family office networks they sponsor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01-transworld-gcc.md" TargetMode="External" /><Relationship Type="http://schemas.openxmlformats.org/officeDocument/2006/relationships/hyperlink" Id="rId23" Target="./02-kuvera-consulting.md" TargetMode="External" /><Relationship Type="http://schemas.openxmlformats.org/officeDocument/2006/relationships/hyperlink" Id="rId24" Target="./03-credence-and-co.md" TargetMode="External" /><Relationship Type="http://schemas.openxmlformats.org/officeDocument/2006/relationships/hyperlink" Id="rId25" Target="./04-charterhouse-partners.md" TargetMode="External" /><Relationship Type="http://schemas.openxmlformats.org/officeDocument/2006/relationships/hyperlink" Id="rId26" Target="./05-quick-reference.md" TargetMode="External" /></Relationships>
</file>

<file path=word/_rels/footnotes.xml.rels><?xml version="1.0" encoding="UTF-8"?>
<Relationships xmlns="http://schemas.openxmlformats.org/package/2006/relationships"><Relationship Type="http://schemas.openxmlformats.org/officeDocument/2006/relationships/hyperlink" Id="rId22" Target="./01-transworld-gcc.md" TargetMode="External" /><Relationship Type="http://schemas.openxmlformats.org/officeDocument/2006/relationships/hyperlink" Id="rId23" Target="./02-kuvera-consulting.md" TargetMode="External" /><Relationship Type="http://schemas.openxmlformats.org/officeDocument/2006/relationships/hyperlink" Id="rId24" Target="./03-credence-and-co.md" TargetMode="External" /><Relationship Type="http://schemas.openxmlformats.org/officeDocument/2006/relationships/hyperlink" Id="rId25" Target="./04-charterhouse-partners.md" TargetMode="External" /><Relationship Type="http://schemas.openxmlformats.org/officeDocument/2006/relationships/hyperlink" Id="rId26" Target="./05-quick-referen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GCI Competitor Battlecards (PRIVATE)</dc:title>
  <dc:creator>Gulf Capital Intelligence</dc:creator>
  <cp:keywords/>
  <dcterms:created xsi:type="dcterms:W3CDTF">2026-04-24T21:12:44Z</dcterms:created>
  <dcterms:modified xsi:type="dcterms:W3CDTF">2026-04-24T21:12:44Z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April 2026</vt:lpwstr>
  </property>
  <property fmtid="{D5CDD505-2E9C-101B-9397-08002B2CF9AE}" pid="3" name="subtitle">
    <vt:lpwstr>PRIVATE INTERNAL SALES DOCUMENT - Do not share externally</vt:lpwstr>
  </property>
</Properties>
</file>