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GCI Press Release Draft April 2026</w:t>
      </w:r>
    </w:p>
    <w:p>
      <w:pPr>
        <w:pStyle w:val="Heading1"/>
      </w:pPr>
      <w:bookmarkStart w:id="20" w:name="X0b80b39400f0d912f509925903012431ab309ef"/>
      <w:r>
        <w:t xml:space="preserve">Press Release Draft: GCI Expands to 50 Institutional Insights Across GCC Investment Categories</w:t>
      </w:r>
      <w:bookmarkEnd w:id="20"/>
    </w:p>
    <w:p>
      <w:pPr>
        <w:pStyle w:val="FirstParagraph"/>
      </w:pPr>
      <w:r>
        <w:rPr>
          <w:b/>
        </w:rPr>
        <w:t xml:space="preserve">FOR IMMEDIATE RELEASE</w:t>
      </w:r>
      <w:r>
        <w:br/>
      </w:r>
      <w:r>
        <w:t xml:space="preserve">Dubai, UAE - 24 April 2026</w:t>
      </w:r>
    </w:p>
    <w:p>
      <w:r>
        <w:pict>
          <v:rect style="width:0;height:1.5pt" o:hralign="center" o:hrstd="t" o:hr="t"/>
        </w:pict>
      </w:r>
    </w:p>
    <w:p>
      <w:pPr>
        <w:pStyle w:val="Heading2"/>
      </w:pPr>
      <w:bookmarkStart w:id="21" w:name="X77616ce3e29988781229d58cde845151ea44dc1"/>
      <w:r>
        <w:t xml:space="preserve">Gulf Capital Intelligence Publishes 30 New Investment Research Pieces, Doubles Institutional Content Library</w:t>
      </w:r>
      <w:bookmarkEnd w:id="21"/>
    </w:p>
    <w:p>
      <w:pPr>
        <w:pStyle w:val="FirstParagraph"/>
      </w:pPr>
      <w:r>
        <w:rPr>
          <w:b/>
        </w:rPr>
        <w:t xml:space="preserve">DIFC-registered investment intelligence firm expands coverage to family office operations, GCC tax regimes, Sharia-compliant structures, and Arabic-language analysis for regional HNWI investors</w:t>
      </w:r>
    </w:p>
    <w:p>
      <w:pPr>
        <w:pStyle w:val="BodyText"/>
      </w:pPr>
      <w:r>
        <w:t xml:space="preserve">Gulf Capital Intelligence (GCI), the DIFC-registered investment screening intelligence platform, today announced the publication of 30 new institutional-grade research pieces, bringing its total published library to 50 insight articles, 6 case studies, 11 Arabic-language pages, and 4 strategic intelligence reports.</w:t>
      </w:r>
    </w:p>
    <w:p>
      <w:pPr>
        <w:pStyle w:val="BodyText"/>
      </w:pPr>
      <w:r>
        <w:t xml:space="preserve">The expansion focuses on four underserved analytical categories for GCC family offices and allocators:</w:t>
      </w:r>
    </w:p>
    <w:p>
      <w:pPr>
        <w:numPr>
          <w:ilvl w:val="0"/>
          <w:numId w:val="1001"/>
        </w:numPr>
        <w:pStyle w:val="Compact"/>
      </w:pPr>
      <w:r>
        <w:rPr>
          <w:b/>
        </w:rPr>
        <w:t xml:space="preserve">Real estate due diligence</w:t>
      </w:r>
      <w:r>
        <w:t xml:space="preserve"> </w:t>
      </w:r>
      <w:r>
        <w:t xml:space="preserve">for HNWI buyers evaluating Dubai, Abu Dhabi, Saudi Arabia, and RAK investments</w:t>
      </w:r>
    </w:p>
    <w:p>
      <w:pPr>
        <w:numPr>
          <w:ilvl w:val="0"/>
          <w:numId w:val="1001"/>
        </w:numPr>
        <w:pStyle w:val="Compact"/>
      </w:pPr>
      <w:r>
        <w:rPr>
          <w:b/>
        </w:rPr>
        <w:t xml:space="preserve">Family office operations</w:t>
      </w:r>
      <w:r>
        <w:t xml:space="preserve"> </w:t>
      </w:r>
      <w:r>
        <w:t xml:space="preserve">covering setup, governance, compensation, succession, and cost structures</w:t>
      </w:r>
    </w:p>
    <w:p>
      <w:pPr>
        <w:numPr>
          <w:ilvl w:val="0"/>
          <w:numId w:val="1001"/>
        </w:numPr>
        <w:pStyle w:val="Compact"/>
      </w:pPr>
      <w:r>
        <w:rPr>
          <w:b/>
        </w:rPr>
        <w:t xml:space="preserve">UAE tax and regulatory</w:t>
      </w:r>
      <w:r>
        <w:t xml:space="preserve"> </w:t>
      </w:r>
      <w:r>
        <w:t xml:space="preserve">analysis of Corporate Tax, VAT, CRS reporting, and NRI residency transitions</w:t>
      </w:r>
    </w:p>
    <w:p>
      <w:pPr>
        <w:numPr>
          <w:ilvl w:val="0"/>
          <w:numId w:val="1001"/>
        </w:numPr>
        <w:pStyle w:val="Compact"/>
      </w:pPr>
      <w:r>
        <w:rPr>
          <w:b/>
        </w:rPr>
        <w:t xml:space="preserve">Sharia-compliant wealth management</w:t>
      </w:r>
      <w:r>
        <w:t xml:space="preserve"> </w:t>
      </w:r>
      <w:r>
        <w:t xml:space="preserve">including Halal mortgages, Zakat calculation, and Islamic private banking</w:t>
      </w:r>
    </w:p>
    <w:p>
      <w:pPr>
        <w:pStyle w:val="FirstParagraph"/>
      </w:pPr>
      <w:r>
        <w:t xml:space="preserve">All content is authored by GCI Founder Hemant Agarwal and passed through the firm’s proprietary 5-stage Conviction Engine analytical framework.</w:t>
      </w:r>
    </w:p>
    <w:p>
      <w:pPr>
        <w:pStyle w:val="Heading3"/>
      </w:pPr>
      <w:bookmarkStart w:id="22" w:name="key-highlights-from-the-new-content"/>
      <w:r>
        <w:t xml:space="preserve">Key highlights from the new content</w:t>
      </w:r>
      <w:bookmarkEnd w:id="22"/>
    </w:p>
    <w:p>
      <w:pPr>
        <w:pStyle w:val="FirstParagraph"/>
      </w:pPr>
      <w:r>
        <w:rPr>
          <w:b/>
        </w:rPr>
        <w:t xml:space="preserve">Contrarian finding on Dubai residential yield math:</w:t>
      </w:r>
      <w:r>
        <w:t xml:space="preserve"> </w:t>
      </w:r>
      <w:r>
        <w:t xml:space="preserve">A USD 4.8M Palm Jumeirah apartment needs 9.2 percent annual capital appreciation to match the total return of a two-apartment Dubai Marina portfolio at the same total investment. Most HNWI buyers are under-pricing this trade-off.</w:t>
      </w:r>
    </w:p>
    <w:p>
      <w:pPr>
        <w:pStyle w:val="BodyText"/>
      </w:pPr>
      <w:r>
        <w:rPr>
          <w:b/>
        </w:rPr>
        <w:t xml:space="preserve">Family office cost transparency:</w:t>
      </w:r>
      <w:r>
        <w:t xml:space="preserve"> </w:t>
      </w:r>
      <w:r>
        <w:t xml:space="preserve">GCC family offices at USD 150M AUM typically run at USD 800,000 to USD 1.4M in annual operating cost, with staff compensation accounting for 60 to 75 percent. Most families underestimate total cost by 30 to 60 percent at setup.</w:t>
      </w:r>
    </w:p>
    <w:p>
      <w:pPr>
        <w:pStyle w:val="BodyText"/>
      </w:pPr>
      <w:r>
        <w:rPr>
          <w:b/>
        </w:rPr>
        <w:t xml:space="preserve">UAE Corporate Tax structuring:</w:t>
      </w:r>
      <w:r>
        <w:t xml:space="preserve"> </w:t>
      </w:r>
      <w:r>
        <w:t xml:space="preserve">Qualifying Free Zone Person (QFZP) status requires meeting four specific tests (substance, qualifying activities, audited financials, transfer pricing). Inadvertent disqualification through excluded activities can trigger 9 percent tax on previously exempt income.</w:t>
      </w:r>
    </w:p>
    <w:p>
      <w:pPr>
        <w:pStyle w:val="BodyText"/>
      </w:pPr>
      <w:r>
        <w:rPr>
          <w:b/>
        </w:rPr>
        <w:t xml:space="preserve">Arabic market first:</w:t>
      </w:r>
      <w:r>
        <w:t xml:space="preserve"> </w:t>
      </w:r>
      <w:r>
        <w:t xml:space="preserve">GCI is now the largest institutional-grade Arabic language source for GCC investment content, with 11 dedicated Arabic pages covering family office setup, Dubai real estate, Corporate Tax, Golden Visa, and Sharia-compliant investing.</w:t>
      </w:r>
    </w:p>
    <w:p>
      <w:pPr>
        <w:pStyle w:val="Heading3"/>
      </w:pPr>
      <w:bookmarkStart w:id="23" w:name="what-this-means-for-allocators"/>
      <w:r>
        <w:t xml:space="preserve">What this means for allocators</w:t>
      </w:r>
      <w:bookmarkEnd w:id="23"/>
    </w:p>
    <w:p>
      <w:pPr>
        <w:pStyle w:val="FirstParagraph"/>
      </w:pPr>
      <w:r>
        <w:t xml:space="preserve">“</w:t>
      </w:r>
      <w:r>
        <w:t xml:space="preserve">The GCC investment intelligence market has been under-served by serious institutional analysis,</w:t>
      </w:r>
      <w:r>
        <w:t xml:space="preserve">”</w:t>
      </w:r>
      <w:r>
        <w:t xml:space="preserve"> </w:t>
      </w:r>
      <w:r>
        <w:t xml:space="preserve">said Hemant Agarwal, Founder of Gulf Capital Intelligence.</w:t>
      </w:r>
      <w:r>
        <w:t xml:space="preserve"> </w:t>
      </w:r>
      <w:r>
        <w:t xml:space="preserve">“</w:t>
      </w:r>
      <w:r>
        <w:t xml:space="preserve">Most content is either thin generic summaries from advisory firms, or paywalled reports priced for multi-billion dollar institutions. GCI’s USD 499 Conviction Screen and USD 2,499 monthly Retainer tiers give family offices and independent allocators access to the same methodology, at the price point they actually need.</w:t>
      </w:r>
      <w:r>
        <w:t xml:space="preserve">”</w:t>
      </w:r>
    </w:p>
    <w:p>
      <w:pPr>
        <w:pStyle w:val="Heading3"/>
      </w:pPr>
      <w:bookmarkStart w:id="24" w:name="available-content"/>
      <w:r>
        <w:t xml:space="preserve">Available content</w:t>
      </w:r>
      <w:bookmarkEnd w:id="24"/>
    </w:p>
    <w:p>
      <w:pPr>
        <w:pStyle w:val="FirstParagraph"/>
      </w:pPr>
      <w:r>
        <w:t xml:space="preserve">All new research is live at https://gulfcapitalintelligence.com/insights.html and distributed via GCI’s public custom GPT on ChatGPT.</w:t>
      </w:r>
    </w:p>
    <w:p>
      <w:pPr>
        <w:pStyle w:val="BodyText"/>
      </w:pPr>
      <w:r>
        <w:t xml:space="preserve">Selected pieces include:</w:t>
      </w:r>
      <w:r>
        <w:t xml:space="preserve"> </w:t>
      </w:r>
      <w:r>
        <w:t xml:space="preserve">-</w:t>
      </w:r>
      <w:r>
        <w:t xml:space="preserve"> </w:t>
      </w:r>
      <w:hyperlink r:id="rId25">
        <w:r>
          <w:rPr>
            <w:rStyle w:val="Hyperlink"/>
          </w:rPr>
          <w:t xml:space="preserve">UAE Family Office Setup Complete Guide 2026</w:t>
        </w:r>
      </w:hyperlink>
      <w:r>
        <w:t xml:space="preserve"> </w:t>
      </w:r>
      <w:r>
        <w:t xml:space="preserve">-</w:t>
      </w:r>
      <w:r>
        <w:t xml:space="preserve"> </w:t>
      </w:r>
      <w:hyperlink r:id="rId26">
        <w:r>
          <w:rPr>
            <w:rStyle w:val="Hyperlink"/>
          </w:rPr>
          <w:t xml:space="preserve">DIFC Foundation vs Cayman Trust 2026</w:t>
        </w:r>
      </w:hyperlink>
      <w:r>
        <w:t xml:space="preserve"> </w:t>
      </w:r>
      <w:r>
        <w:t xml:space="preserve">-</w:t>
      </w:r>
      <w:r>
        <w:t xml:space="preserve"> </w:t>
      </w:r>
      <w:hyperlink r:id="rId27">
        <w:r>
          <w:rPr>
            <w:rStyle w:val="Hyperlink"/>
          </w:rPr>
          <w:t xml:space="preserve">Saudi Real Estate Foreign Ownership Rules 2026</w:t>
        </w:r>
      </w:hyperlink>
      <w:r>
        <w:t xml:space="preserve"> </w:t>
      </w:r>
      <w:r>
        <w:t xml:space="preserve">-</w:t>
      </w:r>
      <w:r>
        <w:t xml:space="preserve"> </w:t>
      </w:r>
      <w:hyperlink r:id="rId28">
        <w:r>
          <w:rPr>
            <w:rStyle w:val="Hyperlink"/>
          </w:rPr>
          <w:t xml:space="preserve">Family Business Succession Planning GCC 2026</w:t>
        </w:r>
      </w:hyperlink>
      <w:r>
        <w:t xml:space="preserve"> </w:t>
      </w:r>
      <w:r>
        <w:t xml:space="preserve">-</w:t>
      </w:r>
      <w:r>
        <w:t xml:space="preserve"> </w:t>
      </w:r>
      <w:hyperlink r:id="rId29">
        <w:r>
          <w:rPr>
            <w:rStyle w:val="Hyperlink"/>
          </w:rPr>
          <w:t xml:space="preserve">UAE Corporate Tax Holding Companies 2026</w:t>
        </w:r>
      </w:hyperlink>
    </w:p>
    <w:p>
      <w:pPr>
        <w:pStyle w:val="Heading3"/>
      </w:pPr>
      <w:bookmarkStart w:id="30" w:name="about-gulf-capital-intelligence"/>
      <w:r>
        <w:t xml:space="preserve">About Gulf Capital Intelligence</w:t>
      </w:r>
      <w:bookmarkEnd w:id="30"/>
    </w:p>
    <w:p>
      <w:pPr>
        <w:pStyle w:val="FirstParagraph"/>
      </w:pPr>
      <w:r>
        <w:t xml:space="preserve">Gulf Capital Intelligence (GCI) is a DIFC-registered investment screening intelligence platform serving family offices, private investment vehicles, and allocators evaluating GCC opportunities. Every Conviction Report delivers one of three explicit verdicts (PROCEED, PROCEED WITH CONDITIONS, or AVOID) backed by three AI engines (Claude, GPT, Gemini) and evidence-tiered citations across five levels (VERIFIED, REPORTED, STATED, ESTIMATED, ASSUMED). Trade Licence CL11954.</w:t>
      </w:r>
    </w:p>
    <w:p>
      <w:pPr>
        <w:pStyle w:val="BodyText"/>
      </w:pPr>
      <w:r>
        <w:t xml:space="preserve">Founded by Hemant Agarwal, who spent over a decade advising UAE businesses in healthcare, hospitality, real estate, professional services, and F&amp;B before launching GCI as the institutional-grade intelligence layer for GCC capital allocators.</w:t>
      </w:r>
    </w:p>
    <w:p>
      <w:pPr>
        <w:pStyle w:val="Heading3"/>
      </w:pPr>
      <w:bookmarkStart w:id="31" w:name="media-contact"/>
      <w:r>
        <w:t xml:space="preserve">Media contact</w:t>
      </w:r>
      <w:bookmarkEnd w:id="31"/>
    </w:p>
    <w:p>
      <w:pPr>
        <w:pStyle w:val="FirstParagraph"/>
      </w:pPr>
      <w:r>
        <w:t xml:space="preserve">Hemant Agarwal, Founder</w:t>
      </w:r>
      <w:r>
        <w:br/>
      </w:r>
      <w:r>
        <w:t xml:space="preserve">difc@gulfcapitalintelligence.com</w:t>
      </w:r>
      <w:r>
        <w:br/>
      </w:r>
      <w:r>
        <w:t xml:space="preserve">+971 55 463 9500</w:t>
      </w:r>
      <w:r>
        <w:br/>
      </w:r>
      <w:r>
        <w:t xml:space="preserve">https://gulfcapitalintelligence.com/press.html</w:t>
      </w:r>
    </w:p>
    <w:p>
      <w:pPr>
        <w:pStyle w:val="Heading3"/>
      </w:pPr>
      <w:bookmarkStart w:id="32" w:name="high-resolution-assets"/>
      <w:r>
        <w:t xml:space="preserve">High-resolution assets</w:t>
      </w:r>
      <w:bookmarkEnd w:id="32"/>
    </w:p>
    <w:p>
      <w:pPr>
        <w:numPr>
          <w:ilvl w:val="0"/>
          <w:numId w:val="1002"/>
        </w:numPr>
        <w:pStyle w:val="Compact"/>
      </w:pPr>
      <w:r>
        <w:t xml:space="preserve">Founder photo and bio: https://gulfcapitalintelligence.com/founder.html</w:t>
      </w:r>
    </w:p>
    <w:p>
      <w:pPr>
        <w:numPr>
          <w:ilvl w:val="0"/>
          <w:numId w:val="1002"/>
        </w:numPr>
        <w:pStyle w:val="Compact"/>
      </w:pPr>
      <w:r>
        <w:t xml:space="preserve">Company logo: available on request</w:t>
      </w:r>
    </w:p>
    <w:p>
      <w:pPr>
        <w:numPr>
          <w:ilvl w:val="0"/>
          <w:numId w:val="1002"/>
        </w:numPr>
        <w:pStyle w:val="Compact"/>
      </w:pPr>
      <w:r>
        <w:t xml:space="preserve">Methodology diagram: https://gulfcapitalintelligence.com/methodology.html</w:t>
      </w:r>
    </w:p>
    <w:p>
      <w:pPr>
        <w:numPr>
          <w:ilvl w:val="0"/>
          <w:numId w:val="1002"/>
        </w:numPr>
        <w:pStyle w:val="Compact"/>
      </w:pPr>
      <w:r>
        <w:t xml:space="preserve">Sample Conviction Report: available under NDA</w:t>
      </w:r>
    </w:p>
    <w:p>
      <w:r>
        <w:pict>
          <v:rect style="width:0;height:1.5pt" o:hralign="center" o:hrstd="t" o:hr="t"/>
        </w:pict>
      </w:r>
    </w:p>
    <w:p>
      <w:pPr>
        <w:pStyle w:val="FirstParagraph"/>
      </w:pPr>
      <w:r>
        <w:rPr>
          <w:b/>
        </w:rPr>
        <w:t xml:space="preserve">ENDS</w:t>
      </w:r>
    </w:p>
    <w:p>
      <w:r>
        <w:pict>
          <v:rect style="width:0;height:1.5pt" o:hralign="center" o:hrstd="t" o:hr="t"/>
        </w:pict>
      </w:r>
    </w:p>
    <w:p>
      <w:pPr>
        <w:pStyle w:val="Heading2"/>
      </w:pPr>
      <w:bookmarkStart w:id="33" w:name="X2e3375b649f8de7bb97a066a65295b1d87da1c7"/>
      <w:r>
        <w:t xml:space="preserve">Distribution list (send this press release to)</w:t>
      </w:r>
      <w:bookmarkEnd w:id="33"/>
    </w:p>
    <w:p>
      <w:pPr>
        <w:pStyle w:val="Heading3"/>
      </w:pPr>
      <w:bookmarkStart w:id="34" w:name="primary-uae-trade-press"/>
      <w:r>
        <w:t xml:space="preserve">Primary UAE trade press</w:t>
      </w:r>
      <w:bookmarkEnd w:id="34"/>
    </w:p>
    <w:p>
      <w:pPr>
        <w:numPr>
          <w:ilvl w:val="0"/>
          <w:numId w:val="1003"/>
        </w:numPr>
        <w:pStyle w:val="Compact"/>
      </w:pPr>
      <w:r>
        <w:t xml:space="preserve">The National (business@thenationalnews.com)</w:t>
      </w:r>
    </w:p>
    <w:p>
      <w:pPr>
        <w:numPr>
          <w:ilvl w:val="0"/>
          <w:numId w:val="1003"/>
        </w:numPr>
        <w:pStyle w:val="Compact"/>
      </w:pPr>
      <w:r>
        <w:t xml:space="preserve">Gulf News (business@gulfnews.com)</w:t>
      </w:r>
    </w:p>
    <w:p>
      <w:pPr>
        <w:numPr>
          <w:ilvl w:val="0"/>
          <w:numId w:val="1003"/>
        </w:numPr>
        <w:pStyle w:val="Compact"/>
      </w:pPr>
      <w:r>
        <w:t xml:space="preserve">Khaleej Times (business@khaleejtimes.com)</w:t>
      </w:r>
    </w:p>
    <w:p>
      <w:pPr>
        <w:numPr>
          <w:ilvl w:val="0"/>
          <w:numId w:val="1003"/>
        </w:numPr>
        <w:pStyle w:val="Compact"/>
      </w:pPr>
      <w:r>
        <w:t xml:space="preserve">Arabian Business (editorial@arabianbusiness.com)</w:t>
      </w:r>
    </w:p>
    <w:p>
      <w:pPr>
        <w:numPr>
          <w:ilvl w:val="0"/>
          <w:numId w:val="1003"/>
        </w:numPr>
        <w:pStyle w:val="Compact"/>
      </w:pPr>
      <w:r>
        <w:t xml:space="preserve">MEED (editorial@meed.com)</w:t>
      </w:r>
    </w:p>
    <w:p>
      <w:pPr>
        <w:numPr>
          <w:ilvl w:val="0"/>
          <w:numId w:val="1003"/>
        </w:numPr>
        <w:pStyle w:val="Compact"/>
      </w:pPr>
      <w:r>
        <w:t xml:space="preserve">AGBI (Arabian Gulf Business Insight)</w:t>
      </w:r>
    </w:p>
    <w:p>
      <w:pPr>
        <w:numPr>
          <w:ilvl w:val="0"/>
          <w:numId w:val="1003"/>
        </w:numPr>
        <w:pStyle w:val="Compact"/>
      </w:pPr>
      <w:r>
        <w:t xml:space="preserve">Zawya / LSEG</w:t>
      </w:r>
    </w:p>
    <w:p>
      <w:pPr>
        <w:pStyle w:val="Heading3"/>
      </w:pPr>
      <w:bookmarkStart w:id="35" w:name="wire-services"/>
      <w:r>
        <w:t xml:space="preserve">Wire services</w:t>
      </w:r>
      <w:bookmarkEnd w:id="35"/>
    </w:p>
    <w:p>
      <w:pPr>
        <w:numPr>
          <w:ilvl w:val="0"/>
          <w:numId w:val="1004"/>
        </w:numPr>
        <w:pStyle w:val="Compact"/>
      </w:pPr>
      <w:r>
        <w:t xml:space="preserve">Mondovisione (Middle East Finance)</w:t>
      </w:r>
    </w:p>
    <w:p>
      <w:pPr>
        <w:numPr>
          <w:ilvl w:val="0"/>
          <w:numId w:val="1004"/>
        </w:numPr>
        <w:pStyle w:val="Compact"/>
      </w:pPr>
      <w:r>
        <w:t xml:space="preserve">ZAWYA (Reuters partner)</w:t>
      </w:r>
    </w:p>
    <w:p>
      <w:pPr>
        <w:numPr>
          <w:ilvl w:val="0"/>
          <w:numId w:val="1004"/>
        </w:numPr>
        <w:pStyle w:val="Compact"/>
      </w:pPr>
      <w:r>
        <w:t xml:space="preserve">Mena Herald</w:t>
      </w:r>
    </w:p>
    <w:p>
      <w:pPr>
        <w:pStyle w:val="Heading3"/>
      </w:pPr>
      <w:bookmarkStart w:id="36" w:name="sector-specific"/>
      <w:r>
        <w:t xml:space="preserve">Sector-specific</w:t>
      </w:r>
      <w:bookmarkEnd w:id="36"/>
    </w:p>
    <w:p>
      <w:pPr>
        <w:numPr>
          <w:ilvl w:val="0"/>
          <w:numId w:val="1005"/>
        </w:numPr>
        <w:pStyle w:val="Compact"/>
      </w:pPr>
      <w:r>
        <w:t xml:space="preserve">Family Capital (family office focus)</w:t>
      </w:r>
    </w:p>
    <w:p>
      <w:pPr>
        <w:numPr>
          <w:ilvl w:val="0"/>
          <w:numId w:val="1005"/>
        </w:numPr>
        <w:pStyle w:val="Compact"/>
      </w:pPr>
      <w:r>
        <w:t xml:space="preserve">Private Equity International Middle East</w:t>
      </w:r>
    </w:p>
    <w:p>
      <w:pPr>
        <w:numPr>
          <w:ilvl w:val="0"/>
          <w:numId w:val="1005"/>
        </w:numPr>
        <w:pStyle w:val="Compact"/>
      </w:pPr>
      <w:r>
        <w:t xml:space="preserve">Islamic Finance News</w:t>
      </w:r>
    </w:p>
    <w:p>
      <w:pPr>
        <w:numPr>
          <w:ilvl w:val="0"/>
          <w:numId w:val="1005"/>
        </w:numPr>
        <w:pStyle w:val="Compact"/>
      </w:pPr>
      <w:r>
        <w:t xml:space="preserve">MENA FM (fund management)</w:t>
      </w:r>
    </w:p>
    <w:p>
      <w:pPr>
        <w:pStyle w:val="Heading3"/>
      </w:pPr>
      <w:bookmarkStart w:id="37" w:name="notes-on-distribution"/>
      <w:r>
        <w:t xml:space="preserve">Notes on distribution</w:t>
      </w:r>
      <w:bookmarkEnd w:id="37"/>
    </w:p>
    <w:p>
      <w:pPr>
        <w:pStyle w:val="FirstParagraph"/>
      </w:pPr>
      <w:r>
        <w:t xml:space="preserve">Do NOT blast all at once. Space the sends across 10 to 14 days. Personalise subject line for each outlet. Track opens and clicks if possible. Follow up with single reminder if no response within 5 days.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gulfcapitalintelligence.com/insights/difc-foundation-vs-cayman-trust-2026.html" TargetMode="External" /><Relationship Type="http://schemas.openxmlformats.org/officeDocument/2006/relationships/hyperlink" Id="rId28" Target="https://gulfcapitalintelligence.com/insights/family-business-succession-planning-gcc-2026.html" TargetMode="External" /><Relationship Type="http://schemas.openxmlformats.org/officeDocument/2006/relationships/hyperlink" Id="rId27" Target="https://gulfcapitalintelligence.com/insights/saudi-real-estate-foreign-ownership-rules-2026.html" TargetMode="External" /><Relationship Type="http://schemas.openxmlformats.org/officeDocument/2006/relationships/hyperlink" Id="rId29" Target="https://gulfcapitalintelligence.com/insights/uae-corporate-tax-2026-holding-companies.html" TargetMode="External" /><Relationship Type="http://schemas.openxmlformats.org/officeDocument/2006/relationships/hyperlink" Id="rId25" Target="https://gulfcapitalintelligence.com/insights/uae-family-office-setup-complete-guide-2026.html" TargetMode="External" /></Relationships>
</file>

<file path=word/_rels/footnotes.xml.rels><?xml version="1.0" encoding="UTF-8"?>
<Relationships xmlns="http://schemas.openxmlformats.org/package/2006/relationships"><Relationship Type="http://schemas.openxmlformats.org/officeDocument/2006/relationships/hyperlink" Id="rId26" Target="https://gulfcapitalintelligence.com/insights/difc-foundation-vs-cayman-trust-2026.html" TargetMode="External" /><Relationship Type="http://schemas.openxmlformats.org/officeDocument/2006/relationships/hyperlink" Id="rId28" Target="https://gulfcapitalintelligence.com/insights/family-business-succession-planning-gcc-2026.html" TargetMode="External" /><Relationship Type="http://schemas.openxmlformats.org/officeDocument/2006/relationships/hyperlink" Id="rId27" Target="https://gulfcapitalintelligence.com/insights/saudi-real-estate-foreign-ownership-rules-2026.html" TargetMode="External" /><Relationship Type="http://schemas.openxmlformats.org/officeDocument/2006/relationships/hyperlink" Id="rId29" Target="https://gulfcapitalintelligence.com/insights/uae-corporate-tax-2026-holding-companies.html" TargetMode="External" /><Relationship Type="http://schemas.openxmlformats.org/officeDocument/2006/relationships/hyperlink" Id="rId25" Target="https://gulfcapitalintelligence.com/insights/uae-family-office-setup-complete-guide-2026.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GCI Press Release Draft April 2026</dc:title>
  <dc:creator/>
  <cp:keywords/>
  <dcterms:created xsi:type="dcterms:W3CDTF">2026-04-24T21:12:44Z</dcterms:created>
  <dcterms:modified xsi:type="dcterms:W3CDTF">2026-04-24T21:12:44Z</dcterms:modified>
</cp:coreProperties>
</file>

<file path=docProps/custom.xml><?xml version="1.0" encoding="utf-8"?>
<Properties xmlns="http://schemas.openxmlformats.org/officeDocument/2006/custom-properties" xmlns:vt="http://schemas.openxmlformats.org/officeDocument/2006/docPropsVTypes"/>
</file>