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u w:val="single"/>
        </w:rPr>
      </w:pPr>
      <w:r w:rsidDel="00000000" w:rsidR="00000000" w:rsidRPr="00000000">
        <w:rPr>
          <w:u w:val="single"/>
          <w:rtl w:val="0"/>
        </w:rPr>
        <w:t xml:space="preserve">Deployment Plan</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System Requirements: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w:t>
      </w:r>
      <w:r w:rsidDel="00000000" w:rsidR="00000000" w:rsidRPr="00000000">
        <w:rPr>
          <w:rtl w:val="0"/>
        </w:rPr>
        <w:t xml:space="preserve">ny browser that supports HTML5 (Internet Explorer, Google Chrome, Safari, Mozilla Firefox, etc).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Keyboard and mouse for control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Recommended minimum 2GHz processor, 2GB RAM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Internet connection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Product Deployment: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live production site will be published and hosted using the Towson Triton server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From the time of publishing, the site will be accessible to all users.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There is no installation required by users, because it is a website accessible by anyone with an internet connection.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Training Customer: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We will set up a meeting with the project coordinators from the Department of Education to go over all functionality of the site from the viewpoint of every user type and answer any questions they have about the system.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We will rely on them to relay this information to the coaches, parents, and students at the schools since this is a much larger audience than we would be able to provide training for as only a six person team.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