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7164421"/>
        <w:docPartObj>
          <w:docPartGallery w:val="Cover Pages"/>
          <w:docPartUnique/>
        </w:docPartObj>
      </w:sdtPr>
      <w:sdtEndPr>
        <w:rPr>
          <w:rFonts w:cs="Arial"/>
          <w:b/>
          <w:bCs/>
          <w:color w:val="8C4C00"/>
          <w:sz w:val="32"/>
          <w:szCs w:val="32"/>
        </w:rPr>
      </w:sdtEndPr>
      <w:sdtContent>
        <w:p w14:paraId="4E042A5C" w14:textId="77777777" w:rsidR="005E4170" w:rsidRDefault="005E4170"/>
        <w:p w14:paraId="10D9DD06" w14:textId="77777777" w:rsidR="008E256B" w:rsidRPr="005843C5" w:rsidRDefault="00313291" w:rsidP="008E256B">
          <w:pPr>
            <w:rPr>
              <w:rFonts w:cs="Arial"/>
              <w:b/>
              <w:bCs/>
              <w:color w:val="8C4C00"/>
              <w:sz w:val="32"/>
              <w:szCs w:val="32"/>
            </w:rPr>
          </w:pPr>
          <w:r>
            <w:rPr>
              <w:noProof/>
            </w:rPr>
            <mc:AlternateContent>
              <mc:Choice Requires="wps">
                <w:drawing>
                  <wp:anchor distT="45720" distB="45720" distL="114300" distR="114300" simplePos="0" relativeHeight="251659264" behindDoc="0" locked="0" layoutInCell="1" allowOverlap="1" wp14:anchorId="60E7808E" wp14:editId="4FC10B36">
                    <wp:simplePos x="0" y="0"/>
                    <wp:positionH relativeFrom="column">
                      <wp:posOffset>0</wp:posOffset>
                    </wp:positionH>
                    <wp:positionV relativeFrom="paragraph">
                      <wp:posOffset>1957705</wp:posOffset>
                    </wp:positionV>
                    <wp:extent cx="5645785" cy="3529965"/>
                    <wp:effectExtent l="0" t="0" r="1206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529965"/>
                            </a:xfrm>
                            <a:prstGeom prst="rect">
                              <a:avLst/>
                            </a:prstGeom>
                            <a:noFill/>
                            <a:ln w="9525">
                              <a:noFill/>
                              <a:miter lim="800000"/>
                              <a:headEnd/>
                              <a:tailEnd/>
                            </a:ln>
                          </wps:spPr>
                          <wps:txbx>
                            <w:txbxContent>
                              <w:p w14:paraId="5F1F1F78" w14:textId="77777777" w:rsidR="007A3515" w:rsidRPr="00B96557" w:rsidRDefault="007A3515" w:rsidP="007A3515">
                                <w:pPr>
                                  <w:rPr>
                                    <w:color w:val="FFFFFF" w:themeColor="background1"/>
                                    <w:sz w:val="96"/>
                                    <w:szCs w:val="96"/>
                                  </w:rPr>
                                </w:pPr>
                                <w:r>
                                  <w:rPr>
                                    <w:color w:val="FFFFFF" w:themeColor="background1"/>
                                    <w:sz w:val="96"/>
                                    <w:szCs w:val="96"/>
                                  </w:rPr>
                                  <w:t>Councillor Individual Briefing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1.0, March 2026</w:t>
                                </w:r>
                              </w:p>
                              <w:p w14:paraId="53FEE376" w14:textId="77777777" w:rsidR="00313291" w:rsidRDefault="0031329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7808E" id="_x0000_t202" coordsize="21600,21600" o:spt="202" path="m,l,21600r21600,l21600,xe">
                    <v:stroke joinstyle="miter"/>
                    <v:path gradientshapeok="t" o:connecttype="rect"/>
                  </v:shapetype>
                  <v:shape id="Text Box 2" o:spid="_x0000_s1026" type="#_x0000_t202" style="position:absolute;margin-left:0;margin-top:154.15pt;width:444.55pt;height:27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qdKB8QEAAL4DAAAOAAAAZHJzL2Uyb0RvYy54bWysU8tu2zAQvBfoPxC817LdyrUFy0GaNEWB 9AEk/QCaoiyiJJdd0pbcr++Ssp2gvQXVgViK3Nmd2eH6arCGHRQGDa7ms8mUM+UkNNrtav7j8e7N krMQhWuEAadqflSBX21ev1r3vlJz6MA0ChmBuFD1vuZdjL4qiiA7ZUWYgFeODltAKyJtcVc0KHpC t6aYT6eLogdsPIJUIdDf2/GQbzJ+2yoZv7VtUJGZmlNvMa+Y121ai81aVDsUvtPy1IZ4QRdWaEdF L1C3Igq2R/0PlNUSIUAbJxJsAW2rpcociM1s+hebh054lbmQOMFfZAr/D1Z+PTz478ji8AEGGmAm Efw9yJ+BObjphNupa0ToOyUaKjxLkhW9D9UpNUkdqpBAtv0XaGjIYh8hAw0t2qQK8WSETgM4XkRX Q2SSfpaLd+X7ZcmZpLO35Xy1WpS5hqjO6R5D/KTAshTUHGmqGV4c7kNM7YjqfCVVc3CnjcmTNY71 NV+V8zInPDuxOpLxjLY1X07TN1ohsfzompwchTZjTAWMO9FOTEfOcdgOdDHR30JzJAEQRoPRg6Cg A/zNWU/mqnn4tReoODOfHYmYnHgO8Bxsz4FwklJrHjkbw5uYHTtyuyZxW51pP1U+9UYmyWqcDJ1c +Hyfbz09u80fAAAA//8DAFBLAwQUAAYACAAAACEAZMh/H94AAAAIAQAADwAAAGRycy9kb3ducmV2 LnhtbEyPwU7DMBBE70j8g7VI3KjdFkVpiFNVCE5IiDQcODrJNrEar0PstuHvWU70NqtZzbzJt7Mb xBmnYD1pWC4UCKTGt5Y6DZ/V60MKIkRDrRk8oYYfDLAtbm9yk7X+QiWe97ETHEIhMxr6GMdMytD0 6ExY+BGJvYOfnIl8Tp1sJ3PhcDfIlVKJdMYSN/RmxOcem+P+5DTsvqh8sd/v9Ud5KG1VbRS9JUet 7+/m3ROIiHP8f4Y/fEaHgplqf6I2iEEDD4ka1ipdg2A7TTdLEDWL5HEFssjl9YDiFwAA//8DAFBL AQItABQABgAIAAAAIQC2gziS/gAAAOEBAAATAAAAAAAAAAAAAAAAAAAAAABbQ29udGVudF9UeXBl c10ueG1sUEsBAi0AFAAGAAgAAAAhADj9If/WAAAAlAEAAAsAAAAAAAAAAAAAAAAALwEAAF9yZWxz Ly5yZWxzUEsBAi0AFAAGAAgAAAAhAKOp0oHxAQAAvgMAAA4AAAAAAAAAAAAAAAAALgIAAGRycy9l Mm9Eb2MueG1sUEsBAi0AFAAGAAgAAAAhAGTIfx/eAAAACAEAAA8AAAAAAAAAAAAAAAAASwQAAGRy cy9kb3ducmV2LnhtbFBLBQYAAAAABAAEAPMAAABWBQAAAAA= " filled="f" stroked="f">
                    <v:textbox inset="0,0,0,0">
                      <w:txbxContent>
                        <w:p w14:paraId="5F1F1F78" w14:textId="77777777" w:rsidR="007A3515" w:rsidRPr="00B96557" w:rsidRDefault="007A3515" w:rsidP="007A3515">
                          <w:pPr>
                            <w:rPr>
                              <w:color w:val="FFFFFF" w:themeColor="background1"/>
                              <w:sz w:val="96"/>
                              <w:szCs w:val="96"/>
                            </w:rPr>
                          </w:pPr>
                          <w:r>
                            <w:rPr>
                              <w:color w:val="FFFFFF" w:themeColor="background1"/>
                              <w:sz w:val="96"/>
                              <w:szCs w:val="96"/>
                            </w:rPr>
                            <w:t>Councillor Individual Briefing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1.0, March 2026</w:t>
                          </w:r>
                        </w:p>
                        <w:p w14:paraId="53FEE376" w14:textId="77777777" w:rsidR="00313291" w:rsidRDefault="00313291"/>
                      </w:txbxContent>
                    </v:textbox>
                    <w10:wrap type="square"/>
                  </v:shape>
                </w:pict>
              </mc:Fallback>
            </mc:AlternateContent>
          </w:r>
          <w:r>
            <w:rPr>
              <w:rFonts w:cs="Arial"/>
              <w:b/>
              <w:bCs/>
              <w:color w:val="8C4C00"/>
              <w:sz w:val="32"/>
              <w:szCs w:val="32"/>
            </w:rPr>
            <w:br w:type="page"/>
          </w:r>
        </w:p>
      </w:sdtContent>
    </w:sdt>
    <w:p w14:paraId="26C769E9" w14:textId="77777777" w:rsidR="008E256B" w:rsidRDefault="008E256B" w:rsidP="008E256B">
      <w:pPr>
        <w:pStyle w:val="Heading4"/>
      </w:pPr>
      <w:r>
        <w:rPr>
          <w:noProof/>
        </w:rPr>
        <w:drawing>
          <wp:inline distT="0" distB="0" distL="0" distR="0" wp14:anchorId="53D83D78" wp14:editId="29BB0E9E">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4B36C97D" w14:textId="77777777" w:rsidR="008E256B" w:rsidRPr="00BD0F6D" w:rsidRDefault="008E256B" w:rsidP="008E256B">
      <w:pPr>
        <w:pStyle w:val="Heading4"/>
      </w:pPr>
      <w:r>
        <w:t>City of Port Phillip</w:t>
      </w:r>
    </w:p>
    <w:p w14:paraId="0FDCA2F2" w14:textId="77777777" w:rsidR="008E256B" w:rsidRDefault="008E256B" w:rsidP="008E256B">
      <w:pPr>
        <w:spacing w:after="0"/>
      </w:pPr>
      <w:r>
        <w:t>99a Carlisle Street</w:t>
      </w:r>
    </w:p>
    <w:p w14:paraId="1E63CBEC" w14:textId="77777777" w:rsidR="008E256B" w:rsidRPr="000865EB" w:rsidRDefault="008E256B" w:rsidP="008E256B">
      <w:r>
        <w:t>St Kilda VIC 3182</w:t>
        <w:tab/>
        <w:tab/>
      </w:r>
    </w:p>
    <w:p w14:paraId="7592E470" w14:textId="77777777" w:rsidR="008E256B" w:rsidRDefault="008E256B" w:rsidP="008E256B">
      <w:pPr>
        <w:spacing w:after="0"/>
      </w:pPr>
      <w:r>
        <w:t>Phone:</w:t>
      </w:r>
      <w:r>
        <w:rPr>
          <w:rFonts w:ascii="Poppins SemiBold" w:hAnsi="Poppins SemiBold" w:cs="Poppins SemiBold"/>
        </w:rPr>
        <w:t xml:space="preserve"> ASSIST</w:t>
      </w:r>
      <w:r>
        <w:t xml:space="preserve"> 03 9209 6777</w:t>
      </w:r>
    </w:p>
    <w:p w14:paraId="1F529660" w14:textId="77777777" w:rsidR="008E256B" w:rsidRDefault="008E256B" w:rsidP="008E256B">
      <w:pPr>
        <w:spacing w:after="0"/>
      </w:pPr>
      <w:r>
        <w:t xml:space="preserve">Email: </w:t>
      </w:r>
      <w:hyperlink r:id="rId15" w:history="1">
        <w:r>
          <w:rPr>
            <w:rStyle w:val="Hyperlink"/>
          </w:rPr>
          <w:t>portphillip.vic.gov.au/contact-us</w:t>
        </w:r>
      </w:hyperlink>
    </w:p>
    <w:p w14:paraId="3E5F93C0" w14:textId="77777777" w:rsidR="008E256B" w:rsidRDefault="008E256B" w:rsidP="008E256B">
      <w:pPr>
        <w:spacing w:after="120"/>
      </w:pPr>
      <w:r>
        <w:t xml:space="preserve">Website: </w:t>
      </w:r>
      <w:hyperlink r:id="rId16" w:history="1">
        <w:r>
          <w:rPr>
            <w:rStyle w:val="Hyperlink"/>
          </w:rPr>
          <w:t>portphillip.vic.gov.au</w:t>
        </w:r>
      </w:hyperlink>
    </w:p>
    <w:p w14:paraId="73B41366" w14:textId="77777777" w:rsidR="008E256B" w:rsidRDefault="008E256B" w:rsidP="008E256B">
      <w:pPr>
        <w:pStyle w:val="Heading5"/>
      </w:pPr>
    </w:p>
    <w:p w14:paraId="5E592A69" w14:textId="77777777" w:rsidR="008E256B" w:rsidRDefault="008E256B" w:rsidP="008E256B">
      <w:pPr>
        <w:pStyle w:val="Heading5"/>
      </w:pPr>
      <w:r>
        <w:t>Divercity</w:t>
      </w:r>
    </w:p>
    <w:p w14:paraId="1DBCEFD0" w14:textId="77777777" w:rsidR="008E256B" w:rsidRDefault="008E256B" w:rsidP="008E256B">
      <w:pPr>
        <w:spacing w:after="120"/>
      </w:pPr>
      <w:r>
        <w:t xml:space="preserve">Receive the latest news from your City and Council </w:t>
      </w:r>
      <w:hyperlink r:id="rId17" w:tooltip="portphillip.vic.gov.au/divercity" w:history="1">
        <w:r>
          <w:rPr>
            <w:rStyle w:val="Hyperlink"/>
          </w:rPr>
          <w:t>portphillip.vic.gov.au/divercity</w:t>
        </w:r>
      </w:hyperlink>
    </w:p>
    <w:p w14:paraId="7448C717" w14:textId="77777777" w:rsidR="008E256B" w:rsidRDefault="008E256B" w:rsidP="008E256B"/>
    <w:p w14:paraId="270AB6F7" w14:textId="77777777" w:rsidR="008E256B" w:rsidRDefault="008E256B" w:rsidP="008E256B">
      <w:r>
        <w:rPr>
          <w:noProof/>
        </w:rPr>
        <w:drawing>
          <wp:inline distT="0" distB="0" distL="0" distR="0" wp14:anchorId="082C9E11" wp14:editId="145F9040">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6119F413" w14:textId="77777777" w:rsidR="008E256B" w:rsidRDefault="008E256B" w:rsidP="008E256B">
      <w:pPr>
        <w:pStyle w:val="Heading5"/>
      </w:pPr>
      <w:r>
        <w:t>National Relay Service</w:t>
      </w:r>
    </w:p>
    <w:p w14:paraId="3BB56EA5" w14:textId="77777777" w:rsidR="008E256B" w:rsidRDefault="008E256B" w:rsidP="008E256B">
      <w:r>
        <w:t>If you are deaf, hard of hearing or have trouble speaking, you can phone us through the National Relay Service (NRS):</w:t>
      </w:r>
    </w:p>
    <w:p w14:paraId="3A627F71" w14:textId="77777777" w:rsidR="008E256B" w:rsidRPr="00BD0F6D" w:rsidRDefault="008E256B" w:rsidP="008E256B">
      <w:r>
        <w:t>TTY users, dial 133677, ask for 03 9209 6777</w:t>
      </w:r>
    </w:p>
    <w:p w14:paraId="6FBFE12C" w14:textId="77777777" w:rsidR="008E256B" w:rsidRDefault="008E256B" w:rsidP="008E256B">
      <w:pPr>
        <w:rPr>
          <w:spacing w:val="-2"/>
        </w:rPr>
      </w:pPr>
      <w:r>
        <w:rPr>
          <w:spacing w:val="-2"/>
        </w:rPr>
        <w:t xml:space="preserve">Voice Relay users, phone 1300 555 727, </w:t>
      </w:r>
    </w:p>
    <w:p w14:paraId="2F2E4DFF" w14:textId="77777777" w:rsidR="008E256B" w:rsidRDefault="008E256B" w:rsidP="008E256B">
      <w:pPr>
        <w:rPr>
          <w:spacing w:val="-2"/>
        </w:rPr>
      </w:pPr>
      <w:r>
        <w:rPr>
          <w:spacing w:val="-2"/>
        </w:rPr>
        <w:t>then ask for 03 9209 6777.</w:t>
      </w:r>
    </w:p>
    <w:p w14:paraId="1E72F09A" w14:textId="77777777" w:rsidR="008E256B" w:rsidRPr="00EA5334" w:rsidRDefault="008E256B" w:rsidP="008E256B">
      <w:pPr>
        <w:rPr>
          <w:rStyle w:val="Hyperlink"/>
        </w:rPr>
      </w:pPr>
      <w:r>
        <w:fldChar w:fldCharType="begin"/>
        <w:instrText xml:space="preserve"> HYPERLINK "https://www.infrastructure.gov.au/media-communications-arts/phone/services-people-disability/accesshub" \o "relayservice.gov.au" </w:instrText>
        <w:fldChar w:fldCharType="separate"/>
      </w:r>
      <w:r>
        <w:rPr>
          <w:rStyle w:val="Hyperlink"/>
        </w:rPr>
        <w:t xml:space="preserve">accesshub.gov.au </w:t>
      </w:r>
    </w:p>
    <w:p w14:paraId="3A8509EE" w14:textId="77777777" w:rsidR="008E256B" w:rsidRPr="00BD0F6D" w:rsidRDefault="008E256B" w:rsidP="008E256B">
      <w:r>
        <w:fldChar w:fldCharType="end"/>
        <w:tab/>
      </w:r>
    </w:p>
    <w:p w14:paraId="1CDABBF7" w14:textId="77777777" w:rsidR="008E256B" w:rsidRDefault="008E256B" w:rsidP="008E256B">
      <w:pPr>
        <w:rPr>
          <w:rFonts w:eastAsiaTheme="majorEastAsia" w:cstheme="majorBidi"/>
          <w:spacing w:val="-10"/>
          <w:kern w:val="28"/>
          <w:sz w:val="32"/>
          <w:szCs w:val="32"/>
        </w:rPr>
      </w:pPr>
      <w:r>
        <w:rPr>
          <w:noProof/>
        </w:rPr>
        <w:drawing>
          <wp:inline distT="0" distB="0" distL="0" distR="0" wp14:anchorId="6F7B9790" wp14:editId="73726805">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r>
        <w:rPr>
          <w:rFonts w:eastAsiaTheme="majorEastAsia" w:cstheme="majorBidi"/>
          <w:spacing w:val="-10"/>
          <w:kern w:val="28"/>
          <w:sz w:val="32"/>
          <w:szCs w:val="32"/>
        </w:rPr>
        <w:br w:type="page"/>
      </w:r>
    </w:p>
    <w:p w14:paraId="0E69B7AB" w14:textId="77777777" w:rsidR="008E256B" w:rsidRPr="000643DF" w:rsidRDefault="008E256B" w:rsidP="008E256B">
      <w:pPr>
        <w:spacing w:after="240"/>
        <w:rPr>
          <w:color w:val="F68B1F"/>
          <w:sz w:val="40"/>
          <w:szCs w:val="40"/>
        </w:rPr>
      </w:pPr>
      <w:r>
        <w:rPr>
          <w:rFonts w:cs="Arial"/>
          <w:b/>
          <w:bCs/>
          <w:color w:val="F68B1F"/>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rsidR="000A70B6" w14:paraId="47F857F1" w14:textId="77777777" w:rsidTr="00457D5D">
        <w:tc>
          <w:tcPr>
            <w:tcW w:w="3000" w:type="dxa"/>
            <w:shd w:val="clear" w:color="auto" w:fill="F68B1F"/>
          </w:tcPr>
          <w:p w14:paraId="0F1E8E04"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Responsible division</w:t>
            </w:r>
          </w:p>
        </w:tc>
        <w:tc>
          <w:tcPr>
            <w:tcW w:w="6770" w:type="dxa"/>
          </w:tcPr>
          <w:p w14:paraId="223AE1E2" w14:textId="77777777" w:rsidR="000A70B6" w:rsidRPr="00CF053B" w:rsidRDefault="000A70B6" w:rsidP="00457D5D">
            <w:pPr>
              <w:spacing w:before="40" w:after="40"/>
              <w:rPr>
                <w:sz w:val="20"/>
                <w:szCs w:val="20"/>
              </w:rPr>
            </w:pPr>
            <w:r>
              <w:rPr>
                <w:rFonts w:cs="Arial"/>
                <w:i/>
                <w:iCs/>
                <w:color w:val="808080"/>
                <w:sz w:val="20"/>
                <w:szCs w:val="20"/>
              </w:rPr>
              <w:t>&lt;Enter your division&gt;</w:t>
            </w:r>
          </w:p>
        </w:tc>
      </w:tr>
      <w:tr w:rsidR="000A70B6" w14:paraId="0BA98DD7" w14:textId="77777777" w:rsidTr="00457D5D">
        <w:tc>
          <w:tcPr>
            <w:tcW w:w="3000" w:type="dxa"/>
            <w:shd w:val="clear" w:color="auto" w:fill="F68B1F"/>
          </w:tcPr>
          <w:p w14:paraId="1D52A546"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Responsible department</w:t>
            </w:r>
          </w:p>
        </w:tc>
        <w:tc>
          <w:tcPr>
            <w:tcW w:w="6770" w:type="dxa"/>
          </w:tcPr>
          <w:p w14:paraId="069B376A" w14:textId="77777777" w:rsidR="000A70B6" w:rsidRPr="00CF053B" w:rsidRDefault="000A70B6" w:rsidP="00457D5D">
            <w:pPr>
              <w:spacing w:before="40" w:after="40"/>
              <w:rPr>
                <w:sz w:val="20"/>
                <w:szCs w:val="20"/>
              </w:rPr>
            </w:pPr>
            <w:r>
              <w:rPr>
                <w:rFonts w:cs="Arial"/>
                <w:i/>
                <w:iCs/>
                <w:color w:val="808080"/>
                <w:sz w:val="20"/>
                <w:szCs w:val="20"/>
              </w:rPr>
              <w:t>&lt;Enter your department&gt;</w:t>
            </w:r>
          </w:p>
        </w:tc>
      </w:tr>
      <w:tr w:rsidR="000A70B6" w14:paraId="4EF0C802" w14:textId="77777777" w:rsidTr="00457D5D">
        <w:tc>
          <w:tcPr>
            <w:tcW w:w="3000" w:type="dxa"/>
            <w:shd w:val="clear" w:color="auto" w:fill="F68B1F"/>
          </w:tcPr>
          <w:p w14:paraId="02B32AA8"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Policy owner</w:t>
            </w:r>
          </w:p>
        </w:tc>
        <w:tc>
          <w:tcPr>
            <w:tcW w:w="6770" w:type="dxa"/>
          </w:tcPr>
          <w:p w14:paraId="2E780F54" w14:textId="77777777" w:rsidR="000A70B6" w:rsidRPr="00CF053B" w:rsidRDefault="000A70B6" w:rsidP="00457D5D">
            <w:pPr>
              <w:spacing w:before="40" w:after="40"/>
              <w:rPr>
                <w:sz w:val="20"/>
                <w:szCs w:val="20"/>
              </w:rPr>
            </w:pPr>
            <w:r>
              <w:rPr>
                <w:rFonts w:cs="Arial"/>
                <w:i/>
                <w:iCs/>
                <w:color w:val="808080"/>
                <w:sz w:val="20"/>
                <w:szCs w:val="20"/>
              </w:rPr>
              <w:t xml:space="preserve">&lt;Name, Position title (person who is responsible for the currency of this instrument)&gt;</w:t>
            </w:r>
          </w:p>
        </w:tc>
      </w:tr>
      <w:tr w:rsidR="000A70B6" w14:paraId="452466CD" w14:textId="77777777" w:rsidTr="00457D5D">
        <w:tc>
          <w:tcPr>
            <w:tcW w:w="3000" w:type="dxa"/>
            <w:shd w:val="clear" w:color="auto" w:fill="F68B1F"/>
          </w:tcPr>
          <w:p w14:paraId="0635D1F1"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 xml:space="preserve">Final full refresh approver</w:t>
            </w:r>
          </w:p>
        </w:tc>
        <w:tc>
          <w:tcPr>
            <w:tcW w:w="6770" w:type="dxa"/>
          </w:tcPr>
          <w:p w14:paraId="59C3BC87" w14:textId="77777777" w:rsidR="000A70B6" w:rsidRPr="00CF053B" w:rsidRDefault="000A70B6" w:rsidP="00457D5D">
            <w:pPr>
              <w:spacing w:before="40" w:after="40"/>
              <w:rPr>
                <w:sz w:val="20"/>
                <w:szCs w:val="20"/>
              </w:rPr>
            </w:pPr>
            <w:r>
              <w:rPr>
                <w:rFonts w:cs="Arial"/>
                <w:i/>
                <w:iCs/>
                <w:color w:val="808080"/>
                <w:sz w:val="20"/>
                <w:szCs w:val="20"/>
              </w:rPr>
              <w:t>&lt;e.g. Council / ELT / General Manager&gt;</w:t>
            </w:r>
          </w:p>
        </w:tc>
      </w:tr>
      <w:tr w:rsidR="000A70B6" w14:paraId="7EE4CB5A" w14:textId="77777777" w:rsidTr="00457D5D">
        <w:tc>
          <w:tcPr>
            <w:tcW w:w="3000" w:type="dxa"/>
            <w:shd w:val="clear" w:color="auto" w:fill="F68B1F"/>
          </w:tcPr>
          <w:p w14:paraId="2088A58F"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 xml:space="preserve">Date last full refresh approval</w:t>
            </w:r>
          </w:p>
        </w:tc>
        <w:tc>
          <w:tcPr>
            <w:tcW w:w="6770" w:type="dxa"/>
          </w:tcPr>
          <w:sdt>
            <w:sdtPr>
              <w:rPr>
                <w:sz w:val="20"/>
                <w:szCs w:val="20"/>
              </w:rPr>
              <w:alias w:val="DateApproved"/>
              <w:tag w:val="DateApproved"/>
              <w:id w:val="2034919641"/>
              <w:date>
                <w:dateFormat w:val="dd/MM/yyyy"/>
                <w:lid w:val="en-AU"/>
                <w:storeMappedDataAs w:val="dateTime"/>
                <w:calendar w:val="gregorian"/>
              </w:date>
            </w:sdtPr>
            <w:sdtContent>
              <w:p w14:paraId="354425AF" w14:textId="77777777" w:rsidR="000A70B6" w:rsidRPr="00CF053B" w:rsidRDefault="000A70B6" w:rsidP="00457D5D">
                <w:pPr>
                  <w:spacing w:before="40" w:after="40"/>
                  <w:rPr>
                    <w:sz w:val="20"/>
                    <w:szCs w:val="20"/>
                  </w:rPr>
                </w:pPr>
                <w:r>
                  <w:rPr>
                    <w:rFonts w:cs="Arial"/>
                    <w:i/>
                    <w:iCs/>
                    <w:color w:val="808080"/>
                    <w:sz w:val="20"/>
                    <w:szCs w:val="20"/>
                  </w:rPr>
                  <w:t>Select date</w:t>
                </w:r>
              </w:p>
            </w:sdtContent>
          </w:sdt>
          <w:p w14:paraId="12667009" w14:textId="77777777" w:rsidR="000A70B6" w:rsidRPr="00CF053B" w:rsidRDefault="000A70B6" w:rsidP="00457D5D">
            <w:pPr>
              <w:spacing w:before="40" w:after="40"/>
              <w:rPr>
                <w:sz w:val="20"/>
                <w:szCs w:val="20"/>
              </w:rPr>
            </w:pPr>
            <w:r>
              <w:rPr>
                <w:rFonts w:cs="Arial"/>
                <w:i/>
                <w:iCs/>
                <w:color w:val="C00000"/>
                <w:sz w:val="18"/>
                <w:szCs w:val="18"/>
              </w:rPr>
              <w:t>▶ To be completed after full refresh approval. Do not change for desktop reviews.</w:t>
            </w:r>
          </w:p>
        </w:tc>
      </w:tr>
      <w:tr w:rsidR="000A70B6" w14:paraId="1B2DB67B" w14:textId="77777777" w:rsidTr="00457D5D">
        <w:tc>
          <w:tcPr>
            <w:tcW w:w="3000" w:type="dxa"/>
            <w:shd w:val="clear" w:color="auto" w:fill="F68B1F"/>
          </w:tcPr>
          <w:p w14:paraId="2A5A43D7" w14:textId="77777777" w:rsidR="000A70B6" w:rsidRPr="00CF053B" w:rsidRDefault="000A70B6" w:rsidP="00457D5D">
            <w:pPr>
              <w:spacing w:before="40" w:after="40"/>
              <w:rPr>
                <w:rFonts w:cs="Arial"/>
                <w:b/>
                <w:bCs/>
                <w:color w:val="FFFFFF" w:themeColor="background1"/>
                <w:sz w:val="20"/>
                <w:szCs w:val="20"/>
              </w:rPr>
            </w:pPr>
            <w:r>
              <w:rPr>
                <w:rFonts w:cs="Arial"/>
                <w:b/>
                <w:bCs/>
                <w:color w:val="FFFFFF" w:themeColor="background1"/>
                <w:sz w:val="20"/>
                <w:szCs w:val="20"/>
              </w:rPr>
              <w:t xml:space="preserve">Next full refresh date</w:t>
            </w:r>
          </w:p>
        </w:tc>
        <w:tc>
          <w:tcPr>
            <w:tcW w:w="6770" w:type="dxa"/>
          </w:tcPr>
          <w:p w14:paraId="63E96A97" w14:textId="77777777" w:rsidR="000A70B6" w:rsidRPr="00CF053B" w:rsidRDefault="00000000" w:rsidP="00457D5D">
            <w:pPr>
              <w:spacing w:before="40" w:after="40"/>
              <w:rPr>
                <w:sz w:val="20"/>
                <w:szCs w:val="20"/>
              </w:rPr>
            </w:pPr>
            <w:sdt>
              <w:sdtPr>
                <w:rPr>
                  <w:sz w:val="20"/>
                  <w:szCs w:val="20"/>
                </w:rPr>
                <w:alias w:val="PlannedReviewDate"/>
                <w:tag w:val="PlannedReviewDate"/>
                <w:id w:val="-1450931250"/>
                <w:date>
                  <w:dateFormat w:val="dd/MM/yyyy"/>
                  <w:lid w:val="en-AU"/>
                  <w:storeMappedDataAs w:val="dateTime"/>
                  <w:calendar w:val="gregorian"/>
                </w:date>
              </w:sdtPr>
              <w:sdtContent>
                <w:r>
                  <w:rPr>
                    <w:rFonts w:cs="Arial"/>
                    <w:i/>
                    <w:iCs/>
                    <w:color w:val="808080"/>
                    <w:sz w:val="20"/>
                    <w:szCs w:val="20"/>
                  </w:rPr>
                  <w:t>Select date</w:t>
                </w:r>
              </w:sdtContent>
            </w:sdt>
          </w:p>
          <w:p w14:paraId="0CAB1ABF" w14:textId="77777777" w:rsidR="000A70B6" w:rsidRPr="00CF053B" w:rsidRDefault="000A70B6" w:rsidP="00457D5D">
            <w:pPr>
              <w:spacing w:before="40" w:after="40"/>
              <w:rPr>
                <w:sz w:val="20"/>
                <w:szCs w:val="20"/>
              </w:rPr>
            </w:pPr>
            <w:r>
              <w:rPr>
                <w:rFonts w:cs="Arial"/>
                <w:i/>
                <w:iCs/>
                <w:color w:val="808080"/>
                <w:sz w:val="20"/>
                <w:szCs w:val="20"/>
              </w:rPr>
              <w:t xml:space="preserve">&lt;Default for a full refresh is four years from the date of approval. Strategies and Plans may be longer. Desktop reviews occur annually for all instruments and are not counted as a full refresh.&gt;</w:t>
            </w:r>
          </w:p>
        </w:tc>
      </w:tr>
      <w:tr w:rsidR="000A70B6" w14:paraId="44C994FC" w14:textId="77777777" w:rsidTr="00457D5D">
        <w:tc>
          <w:tcPr>
            <w:tcW w:w="3000" w:type="dxa"/>
            <w:shd w:val="clear" w:color="auto" w:fill="F68B1F"/>
          </w:tcPr>
          <w:p w14:paraId="43BE3CCA" w14:textId="77777777" w:rsidR="000A70B6" w:rsidRPr="00CF053B" w:rsidRDefault="000A70B6" w:rsidP="00457D5D">
            <w:pPr>
              <w:spacing w:before="40" w:after="40"/>
              <w:rPr>
                <w:color w:val="FFFFFF" w:themeColor="background1"/>
                <w:sz w:val="20"/>
                <w:szCs w:val="20"/>
              </w:rPr>
            </w:pPr>
            <w:r>
              <w:rPr>
                <w:rFonts w:cs="Arial"/>
                <w:b/>
                <w:bCs/>
                <w:color w:val="FFFFFF" w:themeColor="background1"/>
                <w:sz w:val="20"/>
                <w:szCs w:val="20"/>
              </w:rPr>
              <w:t>Supersedes</w:t>
            </w:r>
          </w:p>
        </w:tc>
        <w:tc>
          <w:tcPr>
            <w:tcW w:w="6770" w:type="dxa"/>
          </w:tcPr>
          <w:p w14:paraId="742EDC62" w14:textId="77777777" w:rsidR="000A70B6" w:rsidRPr="00CF053B" w:rsidRDefault="000A70B6" w:rsidP="00457D5D">
            <w:pPr>
              <w:spacing w:before="40" w:after="40"/>
              <w:rPr>
                <w:rFonts w:cs="Arial"/>
                <w:i/>
                <w:iCs/>
                <w:color w:val="808080"/>
                <w:sz w:val="20"/>
                <w:szCs w:val="20"/>
              </w:rPr>
            </w:pPr>
            <w:r>
              <w:rPr>
                <w:rFonts w:cs="Arial"/>
                <w:i/>
                <w:iCs/>
                <w:color w:val="808080"/>
                <w:sz w:val="20"/>
                <w:szCs w:val="20"/>
              </w:rPr>
              <w:t>&lt;Enter previous instrument title or enter N/A&gt;</w:t>
            </w:r>
          </w:p>
        </w:tc>
      </w:tr>
    </w:tbl>
    <w:p w14:paraId="04656B48" w14:textId="77777777" w:rsidR="000A70B6" w:rsidRDefault="000A70B6" w:rsidP="000A70B6">
      <w:pPr>
        <w:rPr>
          <w:rFonts w:cs="Arial"/>
          <w:b/>
          <w:bCs/>
          <w:color w:val="003B5C"/>
          <w:sz w:val="28"/>
          <w:szCs w:val="28"/>
        </w:rPr>
      </w:pPr>
    </w:p>
    <w:p w14:paraId="41D15391" w14:textId="77777777" w:rsidR="008E256B" w:rsidRPr="000643DF" w:rsidRDefault="008E256B" w:rsidP="008E256B">
      <w:pPr>
        <w:rPr>
          <w:color w:val="F68B1F"/>
        </w:rPr>
      </w:pPr>
      <w:r>
        <w:rPr>
          <w:rFonts w:cs="Arial"/>
          <w:b/>
          <w:bCs/>
          <w:color w:val="F68B1F"/>
          <w:sz w:val="28"/>
          <w:szCs w:val="28"/>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0A70B6" w14:paraId="244A0900" w14:textId="77777777" w:rsidTr="000A70B6">
        <w:tc>
          <w:tcPr>
            <w:tcW w:w="1696"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C2FD54D" w14:textId="77777777" w:rsidR="000A70B6" w:rsidRDefault="000A70B6"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1216B23C" w14:textId="77777777" w:rsidR="000A70B6" w:rsidRDefault="000A70B6"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0BC05150" w14:textId="77777777" w:rsidR="000A70B6" w:rsidRDefault="000A70B6"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6BFC0F4D" w14:textId="77777777" w:rsidR="000A70B6" w:rsidRDefault="000A70B6"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FE3E160" w14:textId="77777777" w:rsidR="000A70B6" w:rsidRDefault="000A70B6" w:rsidP="00457D5D">
            <w:r>
              <w:rPr>
                <w:rFonts w:eastAsia="Arial" w:cs="Arial"/>
                <w:b/>
                <w:bCs/>
                <w:color w:val="FFFFFF"/>
                <w:sz w:val="20"/>
                <w:szCs w:val="20"/>
              </w:rPr>
              <w:t>Approved by</w:t>
            </w:r>
          </w:p>
        </w:tc>
      </w:tr>
      <w:tr w:rsidR="000A70B6" w14:paraId="230EEEBC"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474818C5" w14:textId="77777777" w:rsidR="000A70B6" w:rsidRDefault="000A70B6" w:rsidP="00457D5D">
            <w:pPr>
              <w:rPr>
                <w:rFonts w:eastAsia="Arial" w:cs="Arial"/>
                <w:i/>
                <w:iCs/>
                <w:color w:val="808080"/>
                <w:sz w:val="20"/>
                <w:szCs w:val="20"/>
              </w:rPr>
            </w:pPr>
            <w:r>
              <w:rPr>
                <w:rFonts w:eastAsia="Arial" w:cs="Arial"/>
                <w:i/>
                <w:iCs/>
                <w:color w:val="808080"/>
                <w:sz w:val="20"/>
                <w:szCs w:val="20"/>
              </w:rPr>
              <w:t>&lt;1.0&gt;</w:t>
            </w:r>
          </w:p>
          <w:p w14:paraId="33EB1A41" w14:textId="77777777" w:rsidR="000A70B6" w:rsidRDefault="000A70B6" w:rsidP="00457D5D">
            <w:r>
              <w:rPr>
                <w:rFonts w:eastAsia="Arial" w:cs="Arial"/>
                <w:i/>
                <w:iCs/>
                <w:color w:val="808080"/>
                <w:sz w:val="20"/>
                <w:szCs w:val="20"/>
              </w:rPr>
              <w:t>&lt;e.g. 1.0 — full review increments the whole number (1.0 → 2.0); desktop review increments the decimal (1.0 → 1.1)&gt;</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HistoryDate"/>
              <w:tag w:val="HistoryDate"/>
              <w:id w:val="2210001"/>
              <w:showingPlcHdr/>
              <w:date>
                <w:dateFormat w:val="d/MM/yyyy"/>
                <w:lid w:val="en-AU"/>
                <w:storeMappedDataAs w:val="dateTime"/>
                <w:calendar w:val="gregorian"/>
              </w:date>
            </w:sdtPr>
            <w:sdtContent>
              <w:p w14:paraId="5D5AFD8A" w14:textId="77777777" w:rsidR="000A70B6" w:rsidRDefault="000A70B6" w:rsidP="00457D5D">
                <w:r>
                  <w:rPr>
                    <w:rFonts w:eastAsia="Arial" w:cs="Arial"/>
                    <w:i/>
                    <w:iCs/>
                    <w:color w:val="808080"/>
                    <w:sz w:val="20"/>
                    <w:szCs w:val="20"/>
                  </w:rPr>
                  <w:t>Select date</w:t>
                </w:r>
              </w:p>
            </w:sdtContent>
          </w:sdt>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ReviewType"/>
              <w:tag w:val="ReviewType"/>
              <w:id w:val="2110001"/>
              <w:showingPlcHdr/>
              <w:dropDownList>
                <w:listItem w:displayText="Select..." w:value="Select..."/>
                <w:listItem w:displayText="Full review" w:value="Full review"/>
                <w:listItem w:displayText="Desktop review" w:value="Desktop review"/>
              </w:dropDownList>
            </w:sdtPr>
            <w:sdtContent>
              <w:p w14:paraId="06BD6D61" w14:textId="77777777" w:rsidR="000A70B6" w:rsidRDefault="000A70B6" w:rsidP="00457D5D">
                <w:r>
                  <w:rPr>
                    <w:rFonts w:eastAsia="Arial" w:cs="Arial"/>
                    <w:i/>
                    <w:iCs/>
                    <w:color w:val="808080"/>
                    <w:sz w:val="20"/>
                    <w:szCs w:val="20"/>
                  </w:rPr>
                  <w:t>Select...</w:t>
                </w:r>
              </w:p>
            </w:sdtContent>
          </w:sdt>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2C19D857" w14:textId="77777777" w:rsidR="000A70B6" w:rsidRDefault="000A70B6" w:rsidP="00457D5D">
            <w:r>
              <w:rPr>
                <w:rFonts w:eastAsia="Arial" w:cs="Arial"/>
                <w:i/>
                <w:iCs/>
                <w:color w:val="808080"/>
                <w:sz w:val="20"/>
                <w:szCs w:val="20"/>
              </w:rPr>
              <w:t>&lt;e.g. Full refresh OR Desktop review, legislation and related documents updated.&gt;</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768D3A9F" w14:textId="77777777" w:rsidR="000A70B6" w:rsidRDefault="000A70B6" w:rsidP="00457D5D">
            <w:r>
              <w:rPr>
                <w:rFonts w:eastAsia="Arial" w:cs="Arial"/>
                <w:i/>
                <w:iCs/>
                <w:color w:val="808080"/>
                <w:sz w:val="20"/>
                <w:szCs w:val="20"/>
              </w:rPr>
              <w:t>&lt;Insert final approver e.g. ELT / Council / GM/Manager / Team Leader&gt;</w:t>
            </w:r>
          </w:p>
        </w:tc>
      </w:tr>
    </w:tbl>
    <w:p>
      <w:r>
        <w:br w:type="page"/>
      </w:r>
    </w:p>
    <w:p w14:paraId="6240B9E7" w14:textId="77777777" w:rsidR="00E97AAA" w:rsidRPr="000643DF" w:rsidRDefault="006A2122">
      <w:pPr>
        <w:rPr>
          <w:color w:val="F68B1F"/>
        </w:rPr>
      </w:pPr>
      <w:r>
        <w:rPr>
          <w:rFonts w:cs="Arial"/>
          <w:b/>
          <w:bCs/>
          <w:color w:val="F68B1F"/>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r>
        <w:t xml:space="preserve">Document Governance</w:t>
      </w:r>
      <w:r>
        <w:tab/>
      </w:r>
      <w:r>
        <w:fldChar w:fldCharType="begin"/>
      </w:r>
      <w:r>
        <w:instrText xml:space="preserve"> PAGEREF _Toc900000001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Review History</w:t>
      </w:r>
      <w:r>
        <w:tab/>
      </w:r>
      <w:r>
        <w:fldChar w:fldCharType="begin"/>
      </w:r>
      <w:r>
        <w:instrText xml:space="preserve"> PAGEREF _Toc900000002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1.</w:t>
      </w:r>
      <w:r>
        <w:tab/>
      </w:r>
      <w:r>
        <w:t xml:space="preserve">Process Overview</w:t>
      </w:r>
      <w:r>
        <w:tab/>
      </w:r>
      <w:r>
        <w:fldChar w:fldCharType="begin"/>
      </w:r>
      <w:r>
        <w:instrText xml:space="preserve"> PAGEREF _Toc900000003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2.</w:t>
      </w:r>
      <w:r>
        <w:tab/>
      </w:r>
      <w:r>
        <w:t xml:space="preserve">Context</w:t>
      </w:r>
      <w:r>
        <w:tab/>
      </w:r>
      <w:r>
        <w:fldChar w:fldCharType="begin"/>
      </w:r>
      <w:r>
        <w:instrText xml:space="preserve"> PAGEREF _Toc900000004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3.</w:t>
      </w:r>
      <w:r>
        <w:tab/>
      </w:r>
      <w:r>
        <w:t xml:space="preserve">When individual briefings are appropriate</w:t>
      </w:r>
      <w:r>
        <w:tab/>
      </w:r>
      <w:r>
        <w:fldChar w:fldCharType="begin"/>
      </w:r>
      <w:r>
        <w:instrText xml:space="preserve"> PAGEREF _Toc900000005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4.</w:t>
      </w:r>
      <w:r>
        <w:tab/>
      </w:r>
      <w:r>
        <w:t xml:space="preserve">What Councillors can ask for</w:t>
      </w:r>
      <w:r>
        <w:tab/>
      </w:r>
      <w:r>
        <w:fldChar w:fldCharType="begin"/>
      </w:r>
      <w:r>
        <w:instrText xml:space="preserve"> PAGEREF _Toc900000006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5.</w:t>
      </w:r>
      <w:r>
        <w:tab/>
      </w:r>
      <w:r>
        <w:t xml:space="preserve">Requests that fall outside of this purpose</w:t>
      </w:r>
      <w:r>
        <w:tab/>
      </w:r>
      <w:r>
        <w:fldChar w:fldCharType="begin"/>
      </w:r>
      <w:r>
        <w:instrText xml:space="preserve"> PAGEREF _Toc900000007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6.</w:t>
      </w:r>
      <w:r>
        <w:tab/>
      </w:r>
      <w:r>
        <w:t xml:space="preserve">Understanding the risks these guidelines manage</w:t>
      </w:r>
      <w:r>
        <w:tab/>
      </w:r>
      <w:r>
        <w:fldChar w:fldCharType="begin"/>
      </w:r>
      <w:r>
        <w:instrText xml:space="preserve"> PAGEREF _Toc900000008 \h </w:instrText>
      </w:r>
      <w:r>
        <w:fldChar w:fldCharType="separate"/>
      </w:r>
      <w:r>
        <w:t xml:space="preserve">8</w:t>
      </w:r>
      <w:r>
        <w:fldChar w:fldCharType="end"/>
      </w:r>
    </w:p>
    <w:p>
      <w:pPr>
        <w:pStyle w:val="TOC1"/>
        <w:rPr>
          <w:rFonts w:asciiTheme="minorHAnsi" w:hAnsiTheme="minorHAnsi" w:cstheme="minorBidi"/>
          <w:noProof/>
          <w:kern w:val="2"/>
          <w:sz w:val="24"/>
          <w:szCs w:val="24"/>
          <w:lang w:val="en-AU" w:eastAsia="en-AU"/>
          <w14:ligatures/>
        </w:rPr>
      </w:pPr>
      <w:r>
        <w:t xml:space="preserve">7.</w:t>
      </w:r>
      <w:r>
        <w:tab/>
      </w:r>
      <w:r>
        <w:t xml:space="preserve">If boundaries are crossed</w:t>
      </w:r>
      <w:r>
        <w:tab/>
      </w:r>
      <w:r>
        <w:fldChar w:fldCharType="begin"/>
      </w:r>
      <w:r>
        <w:instrText xml:space="preserve"> PAGEREF _Toc900000009 \h </w:instrText>
      </w:r>
      <w:r>
        <w:fldChar w:fldCharType="separate"/>
      </w:r>
      <w:r>
        <w:t xml:space="preserve">8</w:t>
      </w:r>
      <w:r>
        <w:fldChar w:fldCharType="end"/>
      </w:r>
    </w:p>
    <w:p>
      <w:pPr>
        <w:pStyle w:val="TOC1"/>
        <w:rPr>
          <w:rFonts w:asciiTheme="minorHAnsi" w:hAnsiTheme="minorHAnsi" w:cstheme="minorBidi"/>
          <w:noProof/>
          <w:kern w:val="2"/>
          <w:sz w:val="24"/>
          <w:szCs w:val="24"/>
          <w:lang w:val="en-AU" w:eastAsia="en-AU"/>
          <w14:ligatures/>
        </w:rPr>
      </w:pPr>
      <w:r>
        <w:t xml:space="preserve">8.</w:t>
      </w:r>
      <w:r>
        <w:tab/>
      </w:r>
      <w:r>
        <w:t xml:space="preserve">Time, capacity and appropriateness</w:t>
      </w:r>
      <w:r>
        <w:tab/>
      </w:r>
      <w:r>
        <w:fldChar w:fldCharType="begin"/>
      </w:r>
      <w:r>
        <w:instrText xml:space="preserve"> PAGEREF _Toc900000010 \h </w:instrText>
      </w:r>
      <w:r>
        <w:fldChar w:fldCharType="separate"/>
      </w:r>
      <w:r>
        <w:t xml:space="preserve">8</w:t>
      </w:r>
      <w:r>
        <w:fldChar w:fldCharType="end"/>
      </w:r>
    </w:p>
    <w:p>
      <w:pPr>
        <w:pStyle w:val="TOC1"/>
        <w:rPr>
          <w:rFonts w:asciiTheme="minorHAnsi" w:hAnsiTheme="minorHAnsi" w:cstheme="minorBidi"/>
          <w:noProof/>
          <w:kern w:val="2"/>
          <w:sz w:val="24"/>
          <w:szCs w:val="24"/>
          <w:lang w:val="en-AU" w:eastAsia="en-AU"/>
          <w14:ligatures/>
        </w:rPr>
      </w:pPr>
      <w:r>
        <w:t xml:space="preserve">9.</w:t>
      </w:r>
      <w:r>
        <w:tab/>
      </w:r>
      <w:r>
        <w:t xml:space="preserve">Process to request an individual briefing</w:t>
      </w:r>
      <w:r>
        <w:tab/>
      </w:r>
      <w:r>
        <w:fldChar w:fldCharType="begin"/>
      </w:r>
      <w:r>
        <w:instrText xml:space="preserve"> PAGEREF _Toc900000011 \h </w:instrText>
      </w:r>
      <w:r>
        <w:fldChar w:fldCharType="separate"/>
      </w:r>
      <w:r>
        <w:t xml:space="preserve">9</w:t>
      </w:r>
      <w:r>
        <w:fldChar w:fldCharType="end"/>
      </w:r>
    </w:p>
    <w:p>
      <w:pPr>
        <w:pStyle w:val="TOC1"/>
        <w:rPr>
          <w:rFonts w:asciiTheme="minorHAnsi" w:hAnsiTheme="minorHAnsi" w:cstheme="minorBidi"/>
          <w:noProof/>
          <w:kern w:val="2"/>
          <w:sz w:val="24"/>
          <w:szCs w:val="24"/>
          <w:lang w:val="en-AU" w:eastAsia="en-AU"/>
          <w14:ligatures/>
        </w:rPr>
      </w:pPr>
      <w:r>
        <w:t xml:space="preserve">10.</w:t>
      </w:r>
      <w:r>
        <w:tab/>
      </w:r>
      <w:r>
        <w:t xml:space="preserve">Upcoming reports - how to handle requests fairly</w:t>
      </w:r>
      <w:r>
        <w:tab/>
      </w:r>
      <w:r>
        <w:fldChar w:fldCharType="begin"/>
      </w:r>
      <w:r>
        <w:instrText xml:space="preserve"> PAGEREF _Toc900000012 \h </w:instrText>
      </w:r>
      <w:r>
        <w:fldChar w:fldCharType="separate"/>
      </w:r>
      <w:r>
        <w:t xml:space="preserve">9</w:t>
      </w:r>
      <w:r>
        <w:fldChar w:fldCharType="end"/>
      </w:r>
    </w:p>
    <w:p>
      <w:pPr>
        <w:pStyle w:val="TOC1"/>
        <w:rPr>
          <w:rFonts w:asciiTheme="minorHAnsi" w:hAnsiTheme="minorHAnsi" w:cstheme="minorBidi"/>
          <w:noProof/>
          <w:kern w:val="2"/>
          <w:sz w:val="24"/>
          <w:szCs w:val="24"/>
          <w:lang w:val="en-AU" w:eastAsia="en-AU"/>
          <w14:ligatures/>
        </w:rPr>
      </w:pPr>
      <w:r>
        <w:t xml:space="preserve">11.</w:t>
      </w:r>
      <w:r>
        <w:tab/>
      </w:r>
      <w:r>
        <w:t xml:space="preserve">Privacy, confidentiality and managing conflicts of interest</w:t>
      </w:r>
      <w:r>
        <w:tab/>
      </w:r>
      <w:r>
        <w:fldChar w:fldCharType="begin"/>
      </w:r>
      <w:r>
        <w:instrText xml:space="preserve"> PAGEREF _Toc900000013 \h </w:instrText>
      </w:r>
      <w:r>
        <w:fldChar w:fldCharType="separate"/>
      </w:r>
      <w:r>
        <w:t xml:space="preserve">9</w:t>
      </w:r>
      <w:r>
        <w:fldChar w:fldCharType="end"/>
      </w:r>
    </w:p>
    <w:p w14:paraId="7714FA4B" w14:textId="77777777" w:rsidR="005D3AC6" w:rsidRDefault="00DB49F0">
      <w:pPr>
        <w:pStyle w:val="TOC1"/>
        <w:rPr>
          <w:rFonts w:asciiTheme="minorHAnsi" w:hAnsiTheme="minorHAnsi" w:cstheme="minorBidi"/>
          <w:noProof/>
          <w:kern w:val="2"/>
          <w:sz w:val="24"/>
          <w:szCs w:val="24"/>
          <w:lang w:val="en-AU" w:eastAsia="en-AU"/>
          <w14:ligatures w14:val="standardContextual"/>
        </w:rPr>
      </w:pPr>
      <w:r>
        <w:fldChar w:fldCharType="end"/>
      </w:r>
    </w:p>
    <w:p>
      <w:r>
        <w:br w:type="page"/>
      </w:r>
    </w:p>
    <w:p>
      <w:pPr>
        <w:pStyle w:val="Heading1"/>
        <w:numPr>
          <w:numId w:val="0"/>
        </w:numPr>
        <w:ind w:left="0" w:hanging="0"/>
      </w:pPr>
      <w:bookmarkStart w:id="9001" w:name="_Toc900000001"/>
      <w:r>
        <w:t xml:space="preserve">Document Governance</w:t>
      </w:r>
      <w:bookmarkEnd w:id="9001"/>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3340"/>
        <w:gridCol w:w="6430"/>
      </w:tblGrid>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Responsible Service / Department:</w:t>
            </w:r>
          </w:p>
        </w:tc>
        <w:tc>
          <w:tcPr>
            <w:tcW w:w="6430" w:type="dxa"/>
            <w:tcMar>
              <w:top w:w="60" w:type="dxa"/>
              <w:left w:w="120" w:type="dxa"/>
              <w:bottom w:w="60" w:type="dxa"/>
              <w:right w:w="120" w:type="dxa"/>
            </w:tcMar>
          </w:tcPr>
          <w:p>
            <w:pPr>
              <w:rPr>
                <w:sz w:val="20"/>
                <w:szCs w:val="20"/>
              </w:rPr>
            </w:pPr>
            <w:r>
              <w:rPr>
                <w:sz w:val="20"/>
                <w:szCs w:val="20"/>
              </w:rPr>
              <w:t>Communications and Governance</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Adoption authorised:</w:t>
            </w:r>
          </w:p>
        </w:tc>
        <w:tc>
          <w:tcPr>
            <w:tcW w:w="6430" w:type="dxa"/>
            <w:tcMar>
              <w:top w:w="60" w:type="dxa"/>
              <w:left w:w="120" w:type="dxa"/>
              <w:bottom w:w="60" w:type="dxa"/>
              <w:right w:w="120" w:type="dxa"/>
            </w:tcMar>
          </w:tcPr>
          <w:p>
            <w:pPr>
              <w:rPr>
                <w:sz w:val="20"/>
                <w:szCs w:val="20"/>
              </w:rPr>
            </w:pPr>
            <w:r>
              <w:rPr>
                <w:sz w:val="20"/>
                <w:szCs w:val="20"/>
              </w:rPr>
              <w:t>Executive Leadership Group</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Date of adoption:</w:t>
            </w:r>
          </w:p>
        </w:tc>
        <w:tc>
          <w:tcPr>
            <w:tcW w:w="6430" w:type="dxa"/>
            <w:tcMar>
              <w:top w:w="60" w:type="dxa"/>
              <w:left w:w="120" w:type="dxa"/>
              <w:bottom w:w="60" w:type="dxa"/>
              <w:right w:w="120" w:type="dxa"/>
            </w:tcMar>
          </w:tcPr>
          <w:p>
            <w:pPr>
              <w:rPr>
                <w:sz w:val="20"/>
                <w:szCs w:val="20"/>
              </w:rPr>
            </w:pPr>
            <w:r>
              <w:rPr>
                <w:sz w:val="20"/>
                <w:szCs w:val="20"/>
              </w:rPr>
              <w:t>13 April 2026</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Date effective from:</w:t>
            </w:r>
          </w:p>
        </w:tc>
        <w:tc>
          <w:tcPr>
            <w:tcW w:w="6430" w:type="dxa"/>
            <w:tcMar>
              <w:top w:w="60" w:type="dxa"/>
              <w:left w:w="120" w:type="dxa"/>
              <w:bottom w:w="60" w:type="dxa"/>
              <w:right w:w="120" w:type="dxa"/>
            </w:tcMar>
          </w:tcPr>
          <w:p>
            <w:pPr>
              <w:rPr>
                <w:sz w:val="20"/>
                <w:szCs w:val="20"/>
              </w:rPr>
            </w:pPr>
            <w:r>
              <w:rPr>
                <w:sz w:val="20"/>
                <w:szCs w:val="20"/>
              </w:rPr>
              <w:t>27 April 2026</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Endorsed CEO or ELT member or department manager to make and approve document editorial amendments:</w:t>
            </w:r>
          </w:p>
        </w:tc>
        <w:tc>
          <w:tcPr>
            <w:tcW w:w="6430" w:type="dxa"/>
            <w:tcMar>
              <w:top w:w="60" w:type="dxa"/>
              <w:left w:w="120" w:type="dxa"/>
              <w:bottom w:w="60" w:type="dxa"/>
              <w:right w:w="120" w:type="dxa"/>
            </w:tcMar>
          </w:tcPr>
          <w:p>
            <w:pPr>
              <w:rPr>
                <w:sz w:val="20"/>
                <w:szCs w:val="20"/>
              </w:rPr>
            </w:pPr>
            <w:r>
              <w:rPr>
                <w:sz w:val="20"/>
                <w:szCs w:val="20"/>
              </w:rPr>
              <w:t>Manager, Communications and Governance</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Annual desktop review date:</w:t>
            </w:r>
          </w:p>
        </w:tc>
        <w:tc>
          <w:tcPr>
            <w:tcW w:w="6430" w:type="dxa"/>
            <w:tcMar>
              <w:top w:w="60" w:type="dxa"/>
              <w:left w:w="120" w:type="dxa"/>
              <w:bottom w:w="60" w:type="dxa"/>
              <w:right w:w="120" w:type="dxa"/>
            </w:tcMar>
          </w:tcPr>
          <w:p>
            <w:pPr>
              <w:rPr>
                <w:sz w:val="20"/>
                <w:szCs w:val="20"/>
              </w:rPr>
            </w:pPr>
            <w:r>
              <w:rPr>
                <w:sz w:val="20"/>
                <w:szCs w:val="20"/>
              </w:rPr>
              <w:t>13 April 2028</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Review date:</w:t>
            </w:r>
          </w:p>
        </w:tc>
        <w:tc>
          <w:tcPr>
            <w:tcW w:w="6430" w:type="dxa"/>
            <w:tcMar>
              <w:top w:w="60" w:type="dxa"/>
              <w:left w:w="120" w:type="dxa"/>
              <w:bottom w:w="60" w:type="dxa"/>
              <w:right w:w="120" w:type="dxa"/>
            </w:tcMar>
          </w:tcPr>
          <w:p>
            <w:pPr>
              <w:rPr>
                <w:sz w:val="20"/>
                <w:szCs w:val="20"/>
              </w:rPr>
            </w:pPr>
            <w:r>
              <w:rPr>
                <w:sz w:val="20"/>
                <w:szCs w:val="20"/>
              </w:rPr>
              <w:t>13 April 2030</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Completion date:</w:t>
            </w:r>
          </w:p>
        </w:tc>
        <w:tc>
          <w:tcPr>
            <w:tcW w:w="6430" w:type="dxa"/>
            <w:tcMar>
              <w:top w:w="60" w:type="dxa"/>
              <w:left w:w="120" w:type="dxa"/>
              <w:bottom w:w="60" w:type="dxa"/>
              <w:right w:w="120" w:type="dxa"/>
            </w:tcMar>
          </w:tcPr>
          <w:p>
            <w:pPr>
              <w:rPr>
                <w:sz w:val="20"/>
                <w:szCs w:val="20"/>
              </w:rPr>
            </w:pPr>
            <w:r>
              <w:rPr>
                <w:sz w:val="20"/>
                <w:szCs w:val="20"/>
              </w:rPr>
              <w:t>Ongoing</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Version number:</w:t>
            </w:r>
          </w:p>
        </w:tc>
        <w:tc>
          <w:tcPr>
            <w:tcW w:w="6430" w:type="dxa"/>
            <w:tcMar>
              <w:top w:w="60" w:type="dxa"/>
              <w:left w:w="120" w:type="dxa"/>
              <w:bottom w:w="60" w:type="dxa"/>
              <w:right w:w="120" w:type="dxa"/>
            </w:tcMar>
          </w:tcPr>
          <w:p>
            <w:pPr>
              <w:rPr>
                <w:sz w:val="20"/>
                <w:szCs w:val="20"/>
              </w:rPr>
            </w:pPr>
            <w:r>
              <w:rPr>
                <w:sz w:val="20"/>
                <w:szCs w:val="20"/>
              </w:rPr>
              <w:t>1.0</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Associated Strategic Direction #:</w:t>
            </w:r>
          </w:p>
        </w:tc>
        <w:tc>
          <w:tcPr>
            <w:tcW w:w="6430" w:type="dxa"/>
            <w:tcMar>
              <w:top w:w="60" w:type="dxa"/>
              <w:left w:w="120" w:type="dxa"/>
              <w:bottom w:w="60" w:type="dxa"/>
              <w:right w:w="120" w:type="dxa"/>
            </w:tcMar>
          </w:tcPr>
          <w:p>
            <w:pPr>
              <w:rPr>
                <w:sz w:val="20"/>
                <w:szCs w:val="20"/>
              </w:rPr>
            </w:pPr>
            <w:r>
              <w:rPr>
                <w:sz w:val="20"/>
                <w:szCs w:val="20"/>
              </w:rPr>
              <w:t>[Insert direction]</w:t>
            </w:r>
          </w:p>
        </w:tc>
      </w:tr>
      <w:tr>
        <w:tc>
          <w:tcPr>
            <w:tcW w:w="3340" w:type="dxa"/>
            <w:shd w:val="clear" w:color="auto" w:fill="F68B1F"/>
            <w:tcMar>
              <w:top w:w="60" w:type="dxa"/>
              <w:left w:w="120" w:type="dxa"/>
              <w:bottom w:w="60" w:type="dxa"/>
              <w:right w:w="120" w:type="dxa"/>
            </w:tcMar>
          </w:tcPr>
          <w:p>
            <w:pPr>
              <w:spacing w:before="40" w:after="40" w:line="240" w:lineRule="auto"/>
              <w:rPr>
                <w:rFonts w:eastAsia="Arial" w:cs="Arial"/>
                <w:sz w:val="20"/>
                <w:szCs w:val="20"/>
                <w:b/>
                <w:bCs/>
                <w:color w:val="FFFFFF"/>
              </w:rPr>
            </w:pPr>
            <w:r>
              <w:rPr>
                <w:sz w:val="20"/>
                <w:szCs w:val="20"/>
                <w:b/>
                <w:bCs/>
                <w:color w:val="FFFFFF"/>
              </w:rPr>
              <w:t>Required by legislation (include pinpoint reference)?</w:t>
            </w:r>
          </w:p>
        </w:tc>
        <w:tc>
          <w:tcPr>
            <w:tcW w:w="6430" w:type="dxa"/>
            <w:tcMar>
              <w:top w:w="60" w:type="dxa"/>
              <w:left w:w="120" w:type="dxa"/>
              <w:bottom w:w="60" w:type="dxa"/>
              <w:right w:w="120" w:type="dxa"/>
            </w:tcMar>
          </w:tcPr>
          <w:p>
            <w:pPr>
              <w:spacing w:before="40" w:after="40" w:line="240" w:lineRule="auto"/>
              <w:rPr>
                <w:rFonts w:eastAsia="Arial" w:cs="Arial"/>
                <w:sz w:val="20"/>
                <w:szCs w:val="20"/>
              </w:rPr>
            </w:pPr>
            <w:r>
              <w:rPr>
                <w:sz w:val="20"/>
                <w:szCs w:val="20"/>
              </w:rPr>
              <w:t>Local Government Act – s 28 Role of a Councillor</w:t>
            </w:r>
          </w:p>
        </w:tc>
      </w:tr>
      <w:tr>
        <w:tc>
          <w:tcPr>
            <w:tcW w:w="334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 xml:space="preserve">Associated Council instruments:</w:t>
            </w:r>
          </w:p>
        </w:tc>
        <w:tc>
          <w:tcPr>
            <w:tcW w:w="6430" w:type="dxa"/>
            <w:tcMar>
              <w:top w:w="60" w:type="dxa"/>
              <w:left w:w="120" w:type="dxa"/>
              <w:bottom w:w="60" w:type="dxa"/>
              <w:right w:w="120" w:type="dxa"/>
            </w:tcMar>
          </w:tcPr>
          <w:p>
            <w:pPr>
              <w:rPr>
                <w:sz w:val="20"/>
                <w:szCs w:val="20"/>
              </w:rPr>
            </w:pPr>
            <w:r>
              <w:rPr>
                <w:sz w:val="20"/>
                <w:szCs w:val="20"/>
              </w:rPr>
              <w:t>Council Briefing Guidelines, City of Port Phillip Governance Rules, Councillor Contact Guidelines</w:t>
            </w:r>
          </w:p>
        </w:tc>
      </w:tr>
    </w:tbl>
    <w:p>
      <w:pPr>
        <w:pStyle w:val="Heading1"/>
        <w:numPr>
          <w:numId w:val="0"/>
        </w:numPr>
        <w:ind w:left="0" w:hanging="0"/>
      </w:pPr>
      <w:bookmarkStart w:id="9002" w:name="_Toc900000002"/>
      <w:r>
        <w:t xml:space="preserve">Review History</w:t>
      </w:r>
      <w:bookmarkEnd w:id="9002"/>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1044"/>
        <w:gridCol w:w="1879"/>
        <w:gridCol w:w="4760"/>
        <w:gridCol w:w="2087"/>
      </w:tblGrid>
      <w:tr>
        <w:trPr>
          <w:tblHeader/>
        </w:trPr>
        <w:tc>
          <w:tcPr>
            <w:tcW w:w="1044"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Version</w:t>
            </w:r>
          </w:p>
        </w:tc>
        <w:tc>
          <w:tcPr>
            <w:tcW w:w="1879"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Date of approval</w:t>
            </w:r>
          </w:p>
        </w:tc>
        <w:tc>
          <w:tcPr>
            <w:tcW w:w="4760"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Changes made</w:t>
            </w:r>
          </w:p>
        </w:tc>
        <w:tc>
          <w:tcPr>
            <w:tcW w:w="2088" w:type="dxa"/>
            <w:shd w:val="clear" w:color="auto" w:fill="F68B1F"/>
            <w:tcMar>
              <w:top w:w="60" w:type="dxa"/>
              <w:left w:w="120" w:type="dxa"/>
              <w:bottom w:w="60" w:type="dxa"/>
              <w:right w:w="120" w:type="dxa"/>
            </w:tcMar>
          </w:tcPr>
          <w:p>
            <w:pPr>
              <w:rPr>
                <w:b/>
                <w:bCs/>
                <w:color w:val="FFFFFF"/>
                <w:sz w:val="20"/>
                <w:szCs w:val="20"/>
              </w:rPr>
            </w:pPr>
            <w:r>
              <w:rPr>
                <w:sz w:val="20"/>
                <w:szCs w:val="20"/>
                <w:b/>
                <w:bCs/>
                <w:color w:val="FFFFFF"/>
              </w:rPr>
              <w:t>ECM record</w:t>
            </w:r>
          </w:p>
        </w:tc>
      </w:tr>
      <w:tr>
        <w:tc>
          <w:tcPr>
            <w:tcW w:w="1044" w:type="dxa"/>
            <w:tcMar>
              <w:top w:w="60" w:type="dxa"/>
              <w:left w:w="120" w:type="dxa"/>
              <w:bottom w:w="60" w:type="dxa"/>
              <w:right w:w="120" w:type="dxa"/>
            </w:tcMar>
          </w:tcPr>
          <w:p>
            <w:pPr>
              <w:spacing w:before="40" w:after="40" w:line="240" w:lineRule="auto"/>
              <w:rPr>
                <w:highlight w:val="green"/>
                <w:sz w:val="20"/>
                <w:szCs w:val="20"/>
              </w:rPr>
            </w:pPr>
            <w:r>
              <w:rPr>
                <w:sz w:val="20"/>
                <w:szCs w:val="20"/>
              </w:rPr>
              <w:t>1.0</w:t>
            </w:r>
          </w:p>
        </w:tc>
        <w:tc>
          <w:tcPr>
            <w:tcW w:w="1879" w:type="dxa"/>
            <w:tcMar>
              <w:top w:w="60" w:type="dxa"/>
              <w:left w:w="120" w:type="dxa"/>
              <w:bottom w:w="60" w:type="dxa"/>
              <w:right w:w="120" w:type="dxa"/>
            </w:tcMar>
          </w:tcPr>
          <w:p>
            <w:pPr>
              <w:spacing w:before="40" w:after="40" w:line="240" w:lineRule="auto"/>
              <w:rPr>
                <w:highlight w:val="green"/>
                <w:sz w:val="20"/>
                <w:szCs w:val="20"/>
              </w:rPr>
            </w:pPr>
          </w:p>
        </w:tc>
        <w:tc>
          <w:tcPr>
            <w:tcW w:w="4760" w:type="dxa"/>
            <w:tcMar>
              <w:top w:w="60" w:type="dxa"/>
              <w:left w:w="120" w:type="dxa"/>
              <w:bottom w:w="60" w:type="dxa"/>
              <w:right w:w="120" w:type="dxa"/>
            </w:tcMar>
          </w:tcPr>
          <w:p>
            <w:pPr>
              <w:rPr>
                <w:sz w:val="20"/>
                <w:szCs w:val="20"/>
              </w:rPr>
            </w:pPr>
          </w:p>
        </w:tc>
        <w:tc>
          <w:tcPr>
            <w:tcW w:w="2088" w:type="dxa"/>
            <w:tcMar>
              <w:top w:w="60" w:type="dxa"/>
              <w:left w:w="120" w:type="dxa"/>
              <w:bottom w:w="60" w:type="dxa"/>
              <w:right w:w="120" w:type="dxa"/>
            </w:tcMar>
          </w:tcPr>
          <w:p>
            <w:pPr>
              <w:rPr>
                <w:sz w:val="20"/>
                <w:szCs w:val="20"/>
              </w:rPr>
            </w:pPr>
            <w:r>
              <w:rPr>
                <w:sz w:val="20"/>
                <w:szCs w:val="20"/>
              </w:rPr>
              <w:t>N/A</w:t>
            </w:r>
          </w:p>
        </w:tc>
      </w:tr>
    </w:tbl>
    <w:p>
      <w:pPr>
        <w:pStyle w:val="Heading1"/>
      </w:pPr>
      <w:bookmarkStart w:id="9003" w:name="_Toc900000003"/>
      <w:r>
        <w:t xml:space="preserve">Process Overview</w:t>
      </w:r>
      <w:bookmarkEnd w:id="9003"/>
    </w:p>
    <w:p>
      <w:pPr>
        <w:spacing w:after="120"/>
        <w:rPr/>
      </w:pPr>
      <w:r>
        <w:rPr/>
        <w:t xml:space="preserve">The following diagram summarises the process for requesting an individual Councillor briefing. Refer to numbered sections throughout this document for detail.</w:t>
      </w:r>
    </w:p>
    <w:p>
      <w:pPr>
        <w:spacing w:before="120" w:after="120"/>
        <w:jc w:val="center"/>
      </w:pPr>
      <w:r>
        <w:rPr/>
        <w:drawing>
          <wp:inline distT="0" distB="0" distL="0" distR="0" wp14:anchorId="27C38BF8" wp14:editId="0DE80792">
            <wp:extent cx="5199380" cy="7334250"/>
            <wp:effectExtent l="0" t="0" r="0" b="0"/>
            <wp:docPr id="100" name="Process Map"/>
            <wp:cNvGraphicFramePr/>
            <a:graphic xmlns:a="http://schemas.openxmlformats.org/drawingml/2006/main">
              <a:graphicData uri="http://schemas.openxmlformats.org/drawingml/2006/picture">
                <pic:pic xmlns:pic="http://schemas.openxmlformats.org/drawingml/2006/picture">
                  <pic:nvPicPr>
                    <pic:cNvPr id="100" name="process_map.png"/>
                    <pic:cNvPicPr/>
                  </pic:nvPicPr>
                  <pic:blipFill>
                    <a:blip r:embed="rId200"/>
                    <a:stretch>
                      <a:fillRect/>
                    </a:stretch>
                  </pic:blipFill>
                  <pic:spPr>
                    <a:xfrm>
                      <a:off x="0" y="0"/>
                      <a:ext cx="5200001" cy="7335126"/>
                    </a:xfrm>
                    <a:prstGeom prst="rect">
                      <a:avLst/>
                    </a:prstGeom>
                  </pic:spPr>
                </pic:pic>
              </a:graphicData>
            </a:graphic>
          </wp:inline>
        </w:drawing>
      </w:r>
    </w:p>
    <w:p>
      <w:pPr>
        <w:pStyle w:val="Heading1"/>
        <w:pageBreakBefore/>
      </w:pPr>
      <w:bookmarkStart w:id="9004" w:name="_Toc900000004"/>
      <w:r>
        <w:t xml:space="preserve">Context</w:t>
      </w:r>
      <w:bookmarkEnd w:id="9004"/>
    </w:p>
    <w:p>
      <w:pPr>
        <w:rPr/>
      </w:pPr>
      <w:r>
        <w:rPr/>
        <w:t>Councillors play a vital role in representing community views and contributing to informed, strategic decision making. To support this role, Councilors need access to accurate, timely and relevant information about matters before Council.</w:t>
      </w:r>
    </w:p>
    <w:p>
      <w:pPr>
        <w:rPr/>
      </w:pPr>
      <w:r>
        <w:rPr/>
        <w:t xml:space="preserve">Briefings - whether collective, small group or individual - are one way this information can be provided. These guidelines are intended to support Councillors and officers by clarifying when individual or small group briefings are appropriate, how they should be used, and the risks they are designed to manage.</w:t>
      </w:r>
    </w:p>
    <w:p>
      <w:pPr>
        <w:rPr/>
      </w:pPr>
      <w:r>
        <w:rPr/>
        <w:t>They aim to:</w:t>
      </w:r>
    </w:p>
    <w:p>
      <w:pPr>
        <w:numPr>
          <w:ilvl w:val="0"/>
          <w:numId w:val="3"/>
        </w:numPr>
        <w:rPr/>
      </w:pPr>
      <w:r>
        <w:rPr/>
        <w:t>support informed participation while respecting the separation between governance and operations</w:t>
      </w:r>
    </w:p>
    <w:p>
      <w:pPr>
        <w:numPr>
          <w:ilvl w:val="0"/>
          <w:numId w:val="3"/>
        </w:numPr>
        <w:rPr/>
      </w:pPr>
      <w:r>
        <w:rPr/>
        <w:t>ensure fairness, transparency and confidence in Council decision making</w:t>
      </w:r>
    </w:p>
    <w:p>
      <w:pPr>
        <w:numPr>
          <w:ilvl w:val="0"/>
          <w:numId w:val="3"/>
        </w:numPr>
        <w:rPr/>
      </w:pPr>
      <w:r>
        <w:rPr/>
        <w:t xml:space="preserve">align with the Model Councillor Code of Conduct, particularly the obligation to diligently use Council processes to become informed</w:t>
      </w:r>
    </w:p>
    <w:p>
      <w:pPr>
        <w:rPr/>
      </w:pPr>
      <w:r>
        <w:rPr/>
        <w:t xml:space="preserve">These guidelines should be read alongside Council’s broader Councillor briefing arrangements and Councillor Contact Guidelines.</w:t>
      </w:r>
    </w:p>
    <w:p>
      <w:pPr>
        <w:pStyle w:val="Heading1"/>
      </w:pPr>
      <w:bookmarkStart w:id="9005" w:name="_Toc900000005"/>
      <w:r>
        <w:t xml:space="preserve"> When individual briefings are appropriate</w:t>
      </w:r>
      <w:bookmarkEnd w:id="9005"/>
    </w:p>
    <w:p>
      <w:pPr>
        <w:rPr/>
      </w:pPr>
      <w:r>
        <w:rPr/>
        <w:t>In most cases, Councillor information needs can be met through existing channels, including:</w:t>
      </w:r>
    </w:p>
    <w:p>
      <w:pPr>
        <w:numPr>
          <w:ilvl w:val="0"/>
          <w:numId w:val="3"/>
        </w:numPr>
        <w:rPr/>
      </w:pPr>
      <w:r>
        <w:rPr/>
        <w:t>Formal Councillor request process</w:t>
      </w:r>
    </w:p>
    <w:p>
      <w:pPr>
        <w:numPr>
          <w:ilvl w:val="0"/>
          <w:numId w:val="3"/>
        </w:numPr>
        <w:rPr/>
      </w:pPr>
      <w:r>
        <w:rPr/>
        <w:t xml:space="preserve">Scheduled Councillor Briefings</w:t>
      </w:r>
    </w:p>
    <w:p>
      <w:pPr>
        <w:numPr>
          <w:ilvl w:val="0"/>
          <w:numId w:val="3"/>
        </w:numPr>
        <w:rPr/>
      </w:pPr>
      <w:r>
        <w:rPr/>
        <w:t>Proactive email updates from relevant GMs and Officers</w:t>
      </w:r>
    </w:p>
    <w:p>
      <w:pPr>
        <w:numPr>
          <w:ilvl w:val="0"/>
          <w:numId w:val="3"/>
        </w:numPr>
        <w:rPr/>
      </w:pPr>
      <w:r>
        <w:rPr/>
        <w:t>Councillor Notes or memos</w:t>
      </w:r>
    </w:p>
    <w:p>
      <w:pPr>
        <w:rPr/>
      </w:pPr>
      <w:r>
        <w:rPr/>
        <w:t>Individual or small group briefings may be appropriate where these channels are not well suited, and where the purpose is clearly strategic.</w:t>
      </w:r>
    </w:p>
    <w:p>
      <w:pPr>
        <w:rPr/>
      </w:pPr>
      <w:r>
        <w:rPr/>
        <w:t>Examples of appropriate circumstances include:</w:t>
      </w:r>
    </w:p>
    <w:p>
      <w:pPr>
        <w:numPr>
          <w:ilvl w:val="0"/>
          <w:numId w:val="3"/>
        </w:numPr>
        <w:rPr/>
      </w:pPr>
      <w:r>
        <w:rPr/>
        <w:t>targeted strategic clarification is genuinely required</w:t>
      </w:r>
    </w:p>
    <w:p>
      <w:pPr>
        <w:numPr>
          <w:ilvl w:val="0"/>
          <w:numId w:val="3"/>
        </w:numPr>
        <w:rPr/>
      </w:pPr>
      <w:r>
        <w:rPr/>
        <w:t xml:space="preserve">a matter is ward specific or location based and unlikely to be relevant to all Councillors</w:t>
      </w:r>
    </w:p>
    <w:p>
      <w:pPr>
        <w:numPr>
          <w:ilvl w:val="0"/>
          <w:numId w:val="3"/>
        </w:numPr>
        <w:rPr/>
      </w:pPr>
      <w:r>
        <w:rPr/>
        <w:t xml:space="preserve">an issue is complex and benefits from interactive discussion rather than written material</w:t>
      </w:r>
    </w:p>
    <w:p>
      <w:pPr>
        <w:rPr/>
      </w:pPr>
      <w:r>
        <w:rPr/>
        <w:t xml:space="preserve">The intent of these briefings is to support understanding, not to replace formal briefings or decision making processes.</w:t>
      </w:r>
    </w:p>
    <w:p>
      <w:pPr>
        <w:pStyle w:val="Heading1"/>
      </w:pPr>
      <w:bookmarkStart w:id="9006" w:name="_Toc900000006"/>
      <w:r>
        <w:t xml:space="preserve">What Councillors can ask for</w:t>
      </w:r>
      <w:bookmarkEnd w:id="9006"/>
    </w:p>
    <w:p>
      <w:pPr>
        <w:spacing w:after="0" w:line="240" w:lineRule="auto"/>
        <w:rPr/>
      </w:pPr>
      <w:r>
        <w:rPr/>
        <w:t>In individual or small</w:t>
        <w:noBreakHyphen/>
        <w:t>group briefings, Councillors can seek information that is explanatory, high</w:t>
        <w:noBreakHyphen/>
        <w:t xml:space="preserve">level and focused on their governance role - without disadvantaging other Councillors.</w:t>
      </w:r>
    </w:p>
    <w:p>
      <w:pPr>
        <w:spacing w:after="0" w:line="240" w:lineRule="auto"/>
        <w:rPr/>
      </w:pPr>
      <w:r>
        <w:rPr/>
        <w:t>This may include:</w:t>
      </w:r>
    </w:p>
    <w:p>
      <w:pPr>
        <w:numPr>
          <w:ilvl w:val="0"/>
          <w:numId w:val="3"/>
        </w:numPr>
        <w:spacing w:after="0" w:line="240" w:lineRule="auto"/>
        <w:rPr/>
      </w:pPr>
      <w:r>
        <w:rPr>
          <w:b/>
          <w:bCs/>
        </w:rPr>
        <w:t xml:space="preserve">Strategic context and background: </w:t>
      </w:r>
      <w:r>
        <w:rPr/>
        <w:t>Information about plans, policies, strategies or issues of municipal or ward significance, consistent with Councillors’ strategic role.</w:t>
      </w:r>
    </w:p>
    <w:p>
      <w:pPr>
        <w:numPr>
          <w:ilvl w:val="0"/>
          <w:numId w:val="3"/>
        </w:numPr>
        <w:spacing w:after="0" w:line="240" w:lineRule="auto"/>
        <w:rPr/>
      </w:pPr>
      <w:r>
        <w:rPr>
          <w:b/>
          <w:bCs/>
        </w:rPr>
        <w:t xml:space="preserve">Process and timing clarification: </w:t>
      </w:r>
      <w:r>
        <w:rPr/>
        <w:t>How statutory or governance processes work, when reports or engagement are scheduled, or how decisions progress through Council.</w:t>
      </w:r>
    </w:p>
    <w:p>
      <w:pPr>
        <w:numPr>
          <w:ilvl w:val="0"/>
          <w:numId w:val="3"/>
        </w:numPr>
        <w:spacing w:after="0" w:line="240" w:lineRule="auto"/>
        <w:rPr/>
      </w:pPr>
      <w:r>
        <w:rPr>
          <w:b/>
          <w:bCs/>
        </w:rPr>
        <w:t>High</w:t>
        <w:noBreakHyphen/>
        <w:t xml:space="preserve">level risks, constraints and dependencies: </w:t>
      </w:r>
      <w:r>
        <w:rPr/>
        <w:t>An overview of key strategic risks or constraints (e.g. financial, legal, reputational, delivery, intergovernmental), without seeking changes to officer advice or risk assessments.</w:t>
      </w:r>
    </w:p>
    <w:tbl>
      <w:tblPr>
        <w:tblStyle w:val="TableGrid"/>
        <w:tblW w:w="9770" w:type="dxa"/>
        <w:tblLook w:val="04A0" w:firstRow="1" w:lastRow="0" w:firstColumn="1" w:lastColumn="0" w:noHBand="0" w:noVBand="1"/>
      </w:tblPr>
      <w:tblGrid>
        <w:gridCol w:w="9770"/>
      </w:tblGrid>
      <w:tr>
        <w:tc>
          <w:tcPr>
            <w:tcW w:w="9770" w:type="dxa"/>
            <w:tcBorders>
              <w:top w:val="single" w:sz="8" w:space="0" w:color="F68B1F"/>
              <w:left w:val="single" w:sz="8" w:space="0" w:color="F68B1F"/>
              <w:bottom w:val="single" w:sz="8" w:space="0" w:color="F68B1F"/>
              <w:right w:val="single" w:sz="8" w:space="0" w:color="F68B1F"/>
            </w:tcBorders>
            <w:shd w:val="clear" w:color="auto" w:fill="FCEEDD"/>
            <w:tcMar>
              <w:top w:w="120" w:type="dxa"/>
              <w:left w:w="160" w:type="dxa"/>
              <w:bottom w:w="120" w:type="dxa"/>
              <w:right w:w="160" w:type="dxa"/>
            </w:tcMar>
          </w:tcPr>
          <w:p>
            <w:pPr>
              <w:spacing w:before="40" w:after="40" w:line="240" w:lineRule="auto"/>
              <w:rPr>
                <w:rFonts w:cs="Arial"/>
                <w:lang w:eastAsia="en-AU"/>
                <w:sz w:val="20"/>
                <w:szCs w:val="20"/>
              </w:rPr>
            </w:pPr>
            <w:r>
              <w:rPr>
                <w:b/>
                <w:bCs/>
                <w:sz w:val="20"/>
                <w:szCs w:val="20"/>
              </w:rPr>
              <w:t>Shared understanding:</w:t>
            </w:r>
            <w:r>
              <w:rPr>
                <w:sz w:val="20"/>
                <w:szCs w:val="20"/>
              </w:rPr>
              <w:t xml:space="preserve"> Councillors contribute to Council’s strategic direction using established processes. The Chief Executive Officer and officers are responsible for operational delivery and staff management.</w:t>
            </w:r>
          </w:p>
          <w:p>
            <w:pPr>
              <w:spacing w:before="40" w:after="40" w:line="240" w:lineRule="auto"/>
              <w:rPr>
                <w:rFonts w:cs="Arial"/>
                <w:lang w:eastAsia="en-AU"/>
                <w:sz w:val="20"/>
                <w:szCs w:val="20"/>
              </w:rPr>
            </w:pPr>
          </w:p>
          <w:p>
            <w:pPr>
              <w:spacing w:before="40" w:after="40" w:line="240" w:lineRule="auto"/>
              <w:rPr>
                <w:rFonts w:cs="Arial"/>
                <w:lang w:eastAsia="en-AU"/>
                <w:sz w:val="20"/>
                <w:szCs w:val="20"/>
              </w:rPr>
            </w:pPr>
            <w:r>
              <w:rPr>
                <w:sz w:val="20"/>
                <w:szCs w:val="20"/>
              </w:rPr>
              <w:t>For ward</w:t>
              <w:noBreakHyphen/>
              <w:t>specific initiatives (e.g. precincts or place</w:t>
              <w:noBreakHyphen/>
              <w:t>based programs), officers may proactively offer briefings to relevant ward Councillors, provided these guidelines and Councillor Contact Guidelines are followed.</w:t>
            </w:r>
          </w:p>
        </w:tc>
      </w:tr>
    </w:tbl>
    <w:p>
      <w:pPr>
        <w:pStyle w:val="Heading2"/>
      </w:pPr>
      <w:r>
        <w:t xml:space="preserve">Practical Examples of Appropriate requests:</w:t>
      </w:r>
    </w:p>
    <w:p>
      <w:pPr>
        <w:spacing w:after="0" w:line="240" w:lineRule="auto"/>
        <w:rPr/>
      </w:pPr>
      <w:r>
        <w:rPr/>
        <w:t>Requesting a briefing:</w:t>
      </w:r>
    </w:p>
    <w:p>
      <w:pPr>
        <w:numPr>
          <w:ilvl w:val="0"/>
          <w:numId w:val="3"/>
        </w:numPr>
        <w:spacing w:after="0" w:line="240" w:lineRule="auto"/>
        <w:rPr/>
      </w:pPr>
      <w:r>
        <w:rPr>
          <w:i/>
          <w:iCs/>
        </w:rPr>
        <w:t xml:space="preserve">Fishermans Bend:</w:t>
      </w:r>
      <w:r>
        <w:rPr/>
        <w:t xml:space="preserve"> “Can officers provide a high</w:t>
        <w:noBreakHyphen/>
        <w:t>level briefing on current transport/community</w:t>
        <w:noBreakHyphen/>
        <w:t>infrastructure advocacy settings and how they align with Council’s adopted advocacy framework?”</w:t>
      </w:r>
    </w:p>
    <w:p>
      <w:pPr>
        <w:spacing w:after="0" w:line="240" w:lineRule="auto"/>
        <w:rPr/>
      </w:pPr>
      <w:r>
        <w:rPr/>
        <w:t>Strategic context &amp; high</w:t>
        <w:noBreakHyphen/>
        <w:t>level advice</w:t>
      </w:r>
    </w:p>
    <w:p>
      <w:pPr>
        <w:numPr>
          <w:ilvl w:val="0"/>
          <w:numId w:val="3"/>
        </w:numPr>
        <w:spacing w:after="0" w:line="240" w:lineRule="auto"/>
        <w:rPr/>
      </w:pPr>
      <w:r>
        <w:rPr>
          <w:i/>
          <w:iCs/>
        </w:rPr>
        <w:t>Coastal health &amp; resilience (St Kilda/Elwood):</w:t>
      </w:r>
      <w:r>
        <w:rPr/>
        <w:t xml:space="preserve"> “Could you please provide an overview of coastal adaptation priorities, key risks, indicative staging and where State partnerships are most critical?”</w:t>
      </w:r>
    </w:p>
    <w:p>
      <w:pPr>
        <w:spacing w:after="0" w:line="240" w:lineRule="auto"/>
        <w:rPr/>
      </w:pPr>
      <w:r>
        <w:rPr/>
        <w:t>Process/timelines</w:t>
      </w:r>
    </w:p>
    <w:p>
      <w:pPr>
        <w:numPr>
          <w:ilvl w:val="0"/>
          <w:numId w:val="3"/>
        </w:numPr>
        <w:spacing w:after="0" w:line="240" w:lineRule="auto"/>
        <w:rPr/>
      </w:pPr>
      <w:r>
        <w:rPr>
          <w:i/>
          <w:iCs/>
        </w:rPr>
        <w:t>Local Law changes:</w:t>
      </w:r>
      <w:r>
        <w:rPr/>
        <w:t xml:space="preserve"> “Can you confirm statutory steps and indicative timings for considering a Local Law amendment (public notice, submissions, decision point)?”</w:t>
      </w:r>
    </w:p>
    <w:p>
      <w:pPr>
        <w:numPr>
          <w:ilvl w:val="0"/>
          <w:numId w:val="3"/>
        </w:numPr>
        <w:spacing w:after="0" w:line="240" w:lineRule="auto"/>
        <w:rPr/>
      </w:pPr>
      <w:r>
        <w:rPr>
          <w:i/>
          <w:iCs/>
        </w:rPr>
        <w:t>Elwood Foreshore masterplan:</w:t>
      </w:r>
      <w:r>
        <w:rPr/>
        <w:t xml:space="preserve"> “What are the next decision gateways (briefing → report → meeting), and when is community engagement scheduled?”</w:t>
      </w:r>
    </w:p>
    <w:p>
      <w:pPr>
        <w:spacing w:after="0" w:line="240" w:lineRule="auto"/>
        <w:rPr/>
      </w:pPr>
      <w:r>
        <w:rPr/>
        <w:t>Risk, Constraints and Dependencies (High</w:t>
        <w:noBreakHyphen/>
        <w:t>Level)</w:t>
      </w:r>
    </w:p>
    <w:p>
      <w:pPr>
        <w:numPr>
          <w:ilvl w:val="0"/>
          <w:numId w:val="3"/>
        </w:numPr>
        <w:spacing w:after="0" w:line="240" w:lineRule="auto"/>
        <w:rPr/>
      </w:pPr>
      <w:r>
        <w:rPr>
          <w:i/>
          <w:iCs/>
        </w:rPr>
        <w:t>South Melbourne Market:</w:t>
      </w:r>
      <w:r>
        <w:rPr/>
        <w:t xml:space="preserve"> “Could officers provide a high</w:t>
        <w:noBreakHyphen/>
        <w:t>level overview of the key strategic risks, constraints and external dependencies associated with delivering the adopted South Melbourne Market Strategy, including financial sustainability considerations, heritage and planning constraints, and any dependencies on external approvals?”</w:t>
      </w:r>
    </w:p>
    <w:p>
      <w:pPr>
        <w:pStyle w:val="Heading1"/>
      </w:pPr>
      <w:bookmarkStart w:id="9007" w:name="_Toc900000007"/>
      <w:r>
        <w:t xml:space="preserve"> Requests that fall outside of this purpose </w:t>
      </w:r>
      <w:bookmarkEnd w:id="9007"/>
    </w:p>
    <w:p>
      <w:pPr>
        <w:spacing w:after="0" w:line="240" w:lineRule="auto"/>
        <w:rPr/>
      </w:pPr>
      <w:r>
        <w:rPr/>
        <w:t>To protect fair decision</w:t>
        <w:noBreakHyphen/>
        <w:t>making and role clarity, individual or small</w:t>
        <w:noBreakHyphen/>
        <w:t>group briefings are not the right forum for requests that:</w:t>
      </w:r>
    </w:p>
    <w:p>
      <w:pPr>
        <w:numPr>
          <w:ilvl w:val="0"/>
          <w:numId w:val="3"/>
        </w:numPr>
        <w:spacing w:after="0" w:line="240" w:lineRule="auto"/>
        <w:rPr/>
      </w:pPr>
      <w:r>
        <w:rPr/>
        <w:t>direct or seek to influence how officers carry out operations</w:t>
      </w:r>
    </w:p>
    <w:p>
      <w:pPr>
        <w:numPr>
          <w:ilvl w:val="0"/>
          <w:numId w:val="3"/>
        </w:numPr>
        <w:spacing w:after="0" w:line="240" w:lineRule="auto"/>
        <w:rPr/>
      </w:pPr>
      <w:r>
        <w:rPr/>
        <w:t>attempt to shape, preview or alter officer advice in upcoming Council reports</w:t>
      </w:r>
    </w:p>
    <w:p>
      <w:pPr>
        <w:numPr>
          <w:ilvl w:val="0"/>
          <w:numId w:val="3"/>
        </w:numPr>
        <w:spacing w:after="0" w:line="240" w:lineRule="auto"/>
        <w:rPr/>
      </w:pPr>
      <w:r>
        <w:rPr/>
        <w:t>seek access to information that is not (or cannot be) made available to all Councillors</w:t>
      </w:r>
    </w:p>
    <w:p>
      <w:pPr>
        <w:spacing w:after="0" w:line="240" w:lineRule="auto"/>
        <w:rPr/>
      </w:pPr>
      <w:r>
        <w:rPr/>
        <w:t>Examples include:</w:t>
      </w:r>
    </w:p>
    <w:p>
      <w:pPr>
        <w:numPr>
          <w:ilvl w:val="0"/>
          <w:numId w:val="3"/>
        </w:numPr>
        <w:spacing w:after="0" w:line="240" w:lineRule="auto"/>
        <w:rPr/>
      </w:pPr>
      <w:r>
        <w:rPr/>
        <w:t>asking officers to change recommendations, prioritise works, or fast</w:t>
        <w:noBreakHyphen/>
        <w:t>track actions</w:t>
      </w:r>
    </w:p>
    <w:p>
      <w:pPr>
        <w:numPr>
          <w:ilvl w:val="0"/>
          <w:numId w:val="3"/>
        </w:numPr>
        <w:spacing w:after="0" w:line="240" w:lineRule="auto"/>
        <w:rPr/>
      </w:pPr>
      <w:r>
        <w:rPr/>
        <w:t>seeking one</w:t>
        <w:noBreakHyphen/>
        <w:t>on</w:t>
        <w:noBreakHyphen/>
        <w:t>one access to draft reports or confidential material ahead of others</w:t>
      </w:r>
    </w:p>
    <w:p>
      <w:pPr>
        <w:numPr>
          <w:ilvl w:val="0"/>
          <w:numId w:val="3"/>
        </w:numPr>
        <w:spacing w:after="0" w:line="240" w:lineRule="auto"/>
        <w:rPr/>
      </w:pPr>
      <w:r>
        <w:rPr/>
        <w:t>requesting officers to undertake operational tasks or enforcement action</w:t>
      </w:r>
    </w:p>
    <w:p>
      <w:pPr>
        <w:numPr>
          <w:ilvl w:val="0"/>
          <w:numId w:val="3"/>
        </w:numPr>
        <w:spacing w:after="0" w:line="240" w:lineRule="auto"/>
        <w:rPr/>
      </w:pPr>
      <w:r>
        <w:rPr/>
        <w:t>seeking to influence technical or professional advice outside formal Council processes</w:t>
      </w:r>
    </w:p>
    <w:p>
      <w:pPr>
        <w:spacing w:after="0" w:line="240" w:lineRule="auto"/>
        <w:rPr/>
      </w:pPr>
      <w:r>
        <w:rPr/>
        <w:t>Councillors are encouraged to raise perspectives, priorities and community views through formal briefings, meetings and Council debates, where all Councillors can participate.</w:t>
      </w:r>
    </w:p>
    <w:p>
      <w:pPr>
        <w:pStyle w:val="Heading1"/>
      </w:pPr>
      <w:bookmarkStart w:id="9008" w:name="_Toc900000008"/>
      <w:r>
        <w:t xml:space="preserve"> Understanding the risks these guidelines manage</w:t>
      </w:r>
      <w:bookmarkEnd w:id="9008"/>
    </w:p>
    <w:p>
      <w:pPr>
        <w:rPr/>
      </w:pPr>
      <w:r>
        <w:rPr/>
        <w:t xml:space="preserve">These guidelines are not about limiting engagement - they exist to manage key organisational and statutory risks, including:</w:t>
      </w:r>
    </w:p>
    <w:p>
      <w:pPr>
        <w:numPr>
          <w:ilvl w:val="0"/>
          <w:numId w:val="3"/>
        </w:numPr>
        <w:rPr/>
      </w:pPr>
      <w:r>
        <w:rPr>
          <w:b/>
          <w:bCs/>
        </w:rPr>
        <w:t>Fairness and transparency</w:t>
      </w:r>
      <w:r>
        <w:rPr/>
        <w:t xml:space="preserve"> in decision</w:t>
        <w:noBreakHyphen/>
        <w:t>making</w:t>
      </w:r>
    </w:p>
    <w:p>
      <w:pPr>
        <w:numPr>
          <w:ilvl w:val="0"/>
          <w:numId w:val="3"/>
        </w:numPr>
        <w:rPr/>
      </w:pPr>
      <w:r>
        <w:rPr>
          <w:b/>
          <w:bCs/>
        </w:rPr>
        <w:t>Perceptions of privileged access or undue influence</w:t>
      </w:r>
    </w:p>
    <w:p>
      <w:pPr>
        <w:numPr>
          <w:ilvl w:val="0"/>
          <w:numId w:val="3"/>
        </w:numPr>
        <w:rPr/>
      </w:pPr>
      <w:r>
        <w:rPr>
          <w:b/>
          <w:bCs/>
        </w:rPr>
        <w:t>Role clarity</w:t>
      </w:r>
      <w:r>
        <w:rPr/>
        <w:t xml:space="preserve"> between governance and operations</w:t>
      </w:r>
    </w:p>
    <w:p>
      <w:pPr>
        <w:numPr>
          <w:ilvl w:val="0"/>
          <w:numId w:val="3"/>
        </w:numPr>
        <w:rPr/>
      </w:pPr>
      <w:r>
        <w:rPr>
          <w:b/>
          <w:bCs/>
        </w:rPr>
        <w:t>Legal and conduct risks</w:t>
      </w:r>
      <w:r>
        <w:rPr/>
        <w:t>, including potential breaches of the Local Government Act 2020 or the Model Councillor Code of Conduct</w:t>
      </w:r>
    </w:p>
    <w:p>
      <w:pPr>
        <w:rPr/>
      </w:pPr>
      <w:r>
        <w:rPr/>
        <w:t>Clear boundaries protect Councillors, officers and Council as a whole.</w:t>
      </w:r>
    </w:p>
    <w:p>
      <w:pPr>
        <w:pStyle w:val="Heading1"/>
      </w:pPr>
      <w:bookmarkStart w:id="9009" w:name="_Toc900000009"/>
      <w:r>
        <w:t xml:space="preserve"> If boundaries are crossed</w:t>
      </w:r>
      <w:bookmarkEnd w:id="9009"/>
    </w:p>
    <w:p>
      <w:pPr>
        <w:spacing w:after="0" w:line="240" w:lineRule="auto"/>
        <w:rPr/>
      </w:pPr>
      <w:r>
        <w:rPr/>
        <w:t>Where interactions move outside these expectations, responses are focused on resetting the process, not punitive action. Depending on the situation, this may include:</w:t>
      </w:r>
    </w:p>
    <w:p>
      <w:pPr>
        <w:numPr>
          <w:ilvl w:val="0"/>
          <w:numId w:val="3"/>
        </w:numPr>
        <w:spacing w:after="0" w:line="240" w:lineRule="auto"/>
        <w:rPr/>
      </w:pPr>
      <w:r>
        <w:rPr/>
        <w:t>redirecting requests through Governance or the CEO</w:t>
      </w:r>
    </w:p>
    <w:p>
      <w:pPr>
        <w:numPr>
          <w:ilvl w:val="0"/>
          <w:numId w:val="3"/>
        </w:numPr>
        <w:spacing w:after="0" w:line="240" w:lineRule="auto"/>
        <w:rPr/>
      </w:pPr>
      <w:r>
        <w:rPr/>
        <w:t>limiting engagement to formal, whole</w:t>
        <w:noBreakHyphen/>
        <w:t>of</w:t>
        <w:noBreakHyphen/>
        <w:t>Council channels</w:t>
      </w:r>
    </w:p>
    <w:p>
      <w:pPr>
        <w:numPr>
          <w:ilvl w:val="0"/>
          <w:numId w:val="3"/>
        </w:numPr>
        <w:spacing w:after="0" w:line="240" w:lineRule="auto"/>
        <w:rPr/>
      </w:pPr>
      <w:r>
        <w:rPr/>
        <w:t>voiding unapproved directions</w:t>
      </w:r>
    </w:p>
    <w:p>
      <w:pPr>
        <w:spacing w:after="0" w:line="240" w:lineRule="auto"/>
        <w:rPr/>
      </w:pPr>
      <w:r>
        <w:rPr/>
        <w:t xml:space="preserve">In more serious cases, behaviour may be addressed through the Councillor conduct framework under the Model Councillor Code of Conduct, and - where relevant - the statutory provisions of the Local Government Act 2020.</w:t>
      </w:r>
    </w:p>
    <w:p>
      <w:pPr>
        <w:pStyle w:val="Heading1"/>
      </w:pPr>
      <w:bookmarkStart w:id="9010" w:name="_Toc900000010"/>
      <w:r>
        <w:t xml:space="preserve"> Time, capacity and appropriateness</w:t>
      </w:r>
      <w:bookmarkEnd w:id="9010"/>
    </w:p>
    <w:p>
      <w:pPr>
        <w:rPr/>
      </w:pPr>
      <w:r>
        <w:rPr/>
        <w:t>When requesting briefings, Councillors are asked to consider:</w:t>
      </w:r>
    </w:p>
    <w:p>
      <w:pPr>
        <w:numPr>
          <w:ilvl w:val="0"/>
          <w:numId w:val="3"/>
        </w:numPr>
        <w:rPr/>
      </w:pPr>
      <w:r>
        <w:rPr/>
        <w:t>officer time and operational impact</w:t>
      </w:r>
    </w:p>
    <w:p>
      <w:pPr>
        <w:numPr>
          <w:ilvl w:val="0"/>
          <w:numId w:val="3"/>
        </w:numPr>
        <w:rPr/>
      </w:pPr>
      <w:r>
        <w:rPr/>
        <w:t>whether the issue is strategic and significant</w:t>
      </w:r>
    </w:p>
    <w:p>
      <w:pPr>
        <w:numPr>
          <w:ilvl w:val="0"/>
          <w:numId w:val="3"/>
        </w:numPr>
        <w:rPr/>
      </w:pPr>
      <w:r>
        <w:rPr/>
        <w:t>whether the request would be more appropriately handled as training or professional development</w:t>
      </w:r>
    </w:p>
    <w:p>
      <w:pPr>
        <w:rPr/>
      </w:pPr>
      <w:r>
        <w:rPr/>
        <w:t>Governance may coordinate, combine or defer requests to manage workload and ensure consistency</w:t>
      </w:r>
    </w:p>
    <w:p>
      <w:pPr>
        <w:pStyle w:val="Heading1"/>
      </w:pPr>
      <w:bookmarkStart w:id="9011" w:name="_Toc900000011"/>
      <w:r>
        <w:t xml:space="preserve"> Process to request an individual briefing</w:t>
      </w:r>
      <w:bookmarkEnd w:id="9011"/>
    </w:p>
    <w:p>
      <w:pPr>
        <w:spacing w:after="0" w:line="240" w:lineRule="auto"/>
        <w:rPr/>
      </w:pPr>
      <w:r>
        <w:rPr/>
        <w:t xml:space="preserve">Send request to the relevant GM cc’ing the Governance helpdesk (and the Mayor where appropriate) stating: topic, purpose, specific questions, urgency, and whether others may be interested. </w:t>
      </w:r>
    </w:p>
    <w:p>
      <w:pPr>
        <w:numPr>
          <w:ilvl w:val="0"/>
          <w:numId w:val="100"/>
        </w:numPr>
        <w:spacing w:after="0" w:line="240" w:lineRule="auto"/>
        <w:rPr/>
      </w:pPr>
      <w:r>
        <w:rPr/>
        <w:t xml:space="preserve">Relevant GM and Governance assesses: strategic relevance, timing, staff availability, conflicts, and whether to invite all Councillors or schedule a full Councillor briefing. A response will be provided to requesting Councillor.</w:t>
      </w:r>
    </w:p>
    <w:p>
      <w:pPr>
        <w:numPr>
          <w:ilvl w:val="0"/>
          <w:numId w:val="100"/>
        </w:numPr>
        <w:spacing w:after="0" w:line="240" w:lineRule="auto"/>
        <w:rPr/>
      </w:pPr>
      <w:r>
        <w:rPr/>
        <w:t xml:space="preserve">Registration &amp; notice: the request and any briefing are logged; all Councillors are notified and may attend or receive the same material. </w:t>
      </w:r>
    </w:p>
    <w:p>
      <w:pPr>
        <w:numPr>
          <w:ilvl w:val="0"/>
          <w:numId w:val="100"/>
        </w:numPr>
        <w:spacing w:after="0" w:line="240" w:lineRule="auto"/>
        <w:rPr/>
      </w:pPr>
      <w:r>
        <w:rPr/>
        <w:t>The GM will work with relevant officers to organise best officer attendees. Note attendees should align with officers listed in Councillor Contact Guidelines.</w:t>
      </w:r>
    </w:p>
    <w:p>
      <w:pPr>
        <w:numPr>
          <w:ilvl w:val="0"/>
          <w:numId w:val="100"/>
        </w:numPr>
        <w:spacing w:after="0" w:line="240" w:lineRule="auto"/>
        <w:rPr/>
      </w:pPr>
      <w:r>
        <w:rPr/>
        <w:t>Record</w:t>
        <w:noBreakHyphen/>
        <w:t xml:space="preserve">keeping: officer writes a short summary of topics discussed and attendees is recorded via email to GM, and in cases that more than one Councillor attends that an IMOC report is completed and tabled at council in line with Governance Rules. </w:t>
      </w:r>
    </w:p>
    <w:p>
      <w:pPr>
        <w:pStyle w:val="Heading1"/>
      </w:pPr>
      <w:bookmarkStart w:id="9012" w:name="_Toc900000012"/>
      <w:r>
        <w:t xml:space="preserve"> Upcoming reports - how to handle requests fairly</w:t>
      </w:r>
      <w:bookmarkEnd w:id="9012"/>
    </w:p>
    <w:p>
      <w:pPr>
        <w:rPr/>
      </w:pPr>
      <w:r>
        <w:rPr/>
        <w:t>If clarification is needed on an upcoming report:</w:t>
      </w:r>
    </w:p>
    <w:p>
      <w:pPr>
        <w:numPr>
          <w:ilvl w:val="0"/>
          <w:numId w:val="3"/>
        </w:numPr>
        <w:rPr/>
      </w:pPr>
      <w:r>
        <w:rPr/>
        <w:t>requests should be made via the GM (cc Governance)</w:t>
      </w:r>
    </w:p>
    <w:p>
      <w:pPr>
        <w:numPr>
          <w:ilvl w:val="0"/>
          <w:numId w:val="3"/>
        </w:numPr>
        <w:rPr/>
      </w:pPr>
      <w:r>
        <w:rPr/>
        <w:t xml:space="preserve">responses should be provided to all Councilors where relevant Councillors should avoid seeking additional drafts, selective data or briefings that others do not have access to.</w:t>
      </w:r>
    </w:p>
    <w:p>
      <w:pPr>
        <w:pStyle w:val="Heading1"/>
      </w:pPr>
      <w:bookmarkStart w:id="9013" w:name="_Toc900000013"/>
      <w:r>
        <w:t xml:space="preserve"> Privacy, confidentiality and managing conflicts of interest</w:t>
      </w:r>
      <w:bookmarkEnd w:id="9013"/>
    </w:p>
    <w:p>
      <w:pPr>
        <w:spacing w:before="0" w:beforeAutospacing="0" w:after="0" w:afterAutospacing="0"/>
        <w:rPr/>
      </w:pPr>
      <w:r>
        <w:rPr/>
        <w:t>Councillors are expected to handle information obtained through briefings appropriately, including:</w:t>
      </w:r>
    </w:p>
    <w:p>
      <w:pPr>
        <w:numPr>
          <w:ilvl w:val="0"/>
          <w:numId w:val="3"/>
        </w:numPr>
        <w:spacing w:before="0" w:beforeAutospacing="0" w:after="0" w:afterAutospacing="0"/>
        <w:rPr/>
      </w:pPr>
      <w:r>
        <w:rPr/>
        <w:t>respecting confidentiality and privacy obligations</w:t>
      </w:r>
    </w:p>
    <w:p>
      <w:pPr>
        <w:numPr>
          <w:ilvl w:val="0"/>
          <w:numId w:val="3"/>
        </w:numPr>
        <w:spacing w:before="0" w:beforeAutospacing="0" w:after="0" w:afterAutospacing="0"/>
        <w:rPr/>
      </w:pPr>
      <w:r>
        <w:rPr/>
        <w:t>not disclosing sensitive, personal, commercial</w:t>
        <w:noBreakHyphen/>
        <w:t>in</w:t>
        <w:noBreakHyphen/>
        <w:t>confidence or legally privileged information</w:t>
      </w:r>
    </w:p>
    <w:p>
      <w:pPr>
        <w:numPr>
          <w:ilvl w:val="0"/>
          <w:numId w:val="3"/>
        </w:numPr>
        <w:spacing w:before="0" w:beforeAutospacing="0" w:after="0" w:afterAutospacing="0"/>
        <w:rPr/>
      </w:pPr>
      <w:r>
        <w:rPr/>
        <w:t>identifying and managing any actual, potential or perceived conflicts of interest in accordance with the Local Government Act 2020 and Council policy</w:t>
      </w:r>
    </w:p>
    <w:sectPr w:rsidR="00E305D7" w:rsidSect="00C607ED">
      <w:headerReference w:type="default" r:id="rId21"/>
      <w:footerReference w:type="default" r:id="rId22"/>
      <w:headerReference w:type="first" r:id="rId23"/>
      <w:pgSz w:w="11906" w:h="16838"/>
      <w:pgMar w:top="1134" w:right="1440" w:bottom="1440" w:left="1440" w:header="28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760A" w14:textId="77777777" w:rsidR="008B604E" w:rsidRDefault="008B604E" w:rsidP="003C2590">
      <w:pPr>
        <w:spacing w:after="0" w:line="240" w:lineRule="auto"/>
      </w:pPr>
      <w:r>
        <w:separator/>
      </w:r>
    </w:p>
    <w:p w14:paraId="733A4209" w14:textId="77777777" w:rsidR="008B604E" w:rsidRDefault="008B604E"/>
    <w:p w14:paraId="1D043C65" w14:textId="77777777" w:rsidR="008B604E" w:rsidRDefault="008B604E" w:rsidP="00614F7B"/>
  </w:endnote>
  <w:endnote w:type="continuationSeparator" w:id="0">
    <w:p w14:paraId="476CE56D" w14:textId="77777777" w:rsidR="008B604E" w:rsidRDefault="008B604E" w:rsidP="003C2590">
      <w:pPr>
        <w:spacing w:after="0" w:line="240" w:lineRule="auto"/>
      </w:pPr>
      <w:r>
        <w:continuationSeparator/>
      </w:r>
    </w:p>
    <w:p w14:paraId="37AA5067" w14:textId="77777777" w:rsidR="008B604E" w:rsidRDefault="008B604E"/>
    <w:p w14:paraId="1BDB560A" w14:textId="77777777" w:rsidR="008B604E" w:rsidRDefault="008B604E" w:rsidP="00614F7B"/>
  </w:endnote>
  <w:endnote w:type="continuationNotice" w:id="1">
    <w:p w14:paraId="025D9266" w14:textId="77777777" w:rsidR="008B604E" w:rsidRDefault="008B604E">
      <w:pPr>
        <w:spacing w:after="0" w:line="240" w:lineRule="auto"/>
      </w:pPr>
    </w:p>
    <w:p w14:paraId="5AC6112B" w14:textId="77777777" w:rsidR="008B604E" w:rsidRDefault="008B604E"/>
    <w:p w14:paraId="7B8D8EB6" w14:textId="77777777" w:rsidR="008B604E" w:rsidRDefault="008B604E"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8F93"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Councillor Individual Briefing Guidelines  |  Version 1.0</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2B3D" w14:textId="77777777" w:rsidR="008B604E" w:rsidRDefault="008B604E" w:rsidP="003C2590">
      <w:pPr>
        <w:spacing w:after="0" w:line="240" w:lineRule="auto"/>
      </w:pPr>
      <w:r>
        <w:separator/>
      </w:r>
    </w:p>
    <w:p w14:paraId="14C1B97A" w14:textId="77777777" w:rsidR="008B604E" w:rsidRDefault="008B604E"/>
    <w:p w14:paraId="66F52987" w14:textId="77777777" w:rsidR="008B604E" w:rsidRDefault="008B604E" w:rsidP="00614F7B"/>
  </w:footnote>
  <w:footnote w:type="continuationSeparator" w:id="0">
    <w:p w14:paraId="4CE459A7" w14:textId="77777777" w:rsidR="008B604E" w:rsidRDefault="008B604E" w:rsidP="003C2590">
      <w:pPr>
        <w:spacing w:after="0" w:line="240" w:lineRule="auto"/>
      </w:pPr>
      <w:r>
        <w:continuationSeparator/>
      </w:r>
    </w:p>
    <w:p w14:paraId="6F502BEA" w14:textId="77777777" w:rsidR="008B604E" w:rsidRDefault="008B604E"/>
    <w:p w14:paraId="71B19E73" w14:textId="77777777" w:rsidR="008B604E" w:rsidRDefault="008B604E" w:rsidP="00614F7B"/>
  </w:footnote>
  <w:footnote w:type="continuationNotice" w:id="1">
    <w:p w14:paraId="388F7D01" w14:textId="77777777" w:rsidR="008B604E" w:rsidRDefault="008B604E">
      <w:pPr>
        <w:spacing w:after="0" w:line="240" w:lineRule="auto"/>
      </w:pPr>
    </w:p>
    <w:p w14:paraId="73BB5040" w14:textId="77777777" w:rsidR="008B604E" w:rsidRDefault="008B604E"/>
    <w:p w14:paraId="74028CA0" w14:textId="77777777" w:rsidR="008B604E" w:rsidRDefault="008B604E"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561C" w14:textId="77777777" w:rsidR="00343A30" w:rsidRPr="005E4170" w:rsidRDefault="004B40A7" w:rsidP="00343A30">
    <w:pPr>
      <w:tabs>
        <w:tab w:val="left" w:pos="-3060"/>
        <w:tab w:val="left" w:pos="-2340"/>
        <w:tab w:val="center" w:pos="4819"/>
        <w:tab w:val="left" w:pos="6300"/>
      </w:tabs>
      <w:suppressAutoHyphens/>
      <w:spacing w:before="480" w:after="120" w:line="288" w:lineRule="auto"/>
      <w:rPr>
        <w:sz w:val="24"/>
        <w:szCs w:val="24"/>
      </w:rPr>
    </w:pPr>
    <w:r>
      <w:rPr>
        <w:noProof/>
        <w:sz w:val="24"/>
        <w:szCs w:val="24"/>
      </w:rPr>
      <w:drawing>
        <wp:anchor distT="0" distB="0" distL="114300" distR="114300" simplePos="0" relativeHeight="251660289" behindDoc="1" locked="0" layoutInCell="1" allowOverlap="1" wp14:anchorId="17640488" wp14:editId="3D4D43D5">
          <wp:simplePos x="0" y="0"/>
          <wp:positionH relativeFrom="column">
            <wp:posOffset>-900268</wp:posOffset>
          </wp:positionH>
          <wp:positionV relativeFrom="paragraph">
            <wp:posOffset>-167640</wp:posOffset>
          </wp:positionV>
          <wp:extent cx="7534800" cy="1080000"/>
          <wp:effectExtent l="0" t="0" r="0" b="0"/>
          <wp:wrapNone/>
          <wp:docPr id="685938599" name="Picture 2" descr="A black and orange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8599" name="Picture 2" descr="A black and orange rectangl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B156CE">
      <w:rPr>
        <w:noProof/>
        <w:sz w:val="24"/>
        <w:szCs w:val="24"/>
      </w:rPr>
      <w:drawing>
        <wp:anchor distT="0" distB="0" distL="114300" distR="114300" simplePos="0" relativeHeight="251662337" behindDoc="1" locked="0" layoutInCell="1" allowOverlap="1" wp14:anchorId="5AC1D87A" wp14:editId="05A55165">
          <wp:simplePos x="0" y="0"/>
          <wp:positionH relativeFrom="column">
            <wp:posOffset>5571460</wp:posOffset>
          </wp:positionH>
          <wp:positionV relativeFrom="paragraph">
            <wp:posOffset>-197116</wp:posOffset>
          </wp:positionV>
          <wp:extent cx="729900" cy="752446"/>
          <wp:effectExtent l="0" t="0" r="0" b="0"/>
          <wp:wrapNone/>
          <wp:docPr id="2089100807" name="Picture 3" descr="A circle with a palm tree and a building in the midd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D66572" w:rsidRPr="005E4170">
      <w:rPr>
        <w:rFonts w:eastAsia="Times New Roman" w:cs="Arial"/>
        <w:sz w:val="24"/>
        <w:szCs w:val="24"/>
        <w:lang w:eastAsia="en-AU"/>
      </w:rPr>
      <w:t>Councillor Individual Briefing Guidelines</w:t>
    </w:r>
  </w:p>
  <w:p w14:paraId="3A1C7120" w14:textId="77777777" w:rsidR="00365258" w:rsidRDefault="00365258"/>
  <w:p w14:paraId="702CA340"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64C9" w14:textId="77777777" w:rsidR="003C2590" w:rsidRPr="00343A30" w:rsidRDefault="005E4170" w:rsidP="00343A30">
    <w:pPr>
      <w:pStyle w:val="Header"/>
      <w:jc w:val="right"/>
    </w:pPr>
    <w:r>
      <w:rPr>
        <w:noProof/>
      </w:rPr>
      <w:drawing>
        <wp:anchor distT="0" distB="0" distL="114300" distR="114300" simplePos="0" relativeHeight="251659265" behindDoc="1" locked="0" layoutInCell="1" allowOverlap="1" wp14:anchorId="0AAC6F4A" wp14:editId="50A234B2">
          <wp:simplePos x="0" y="0"/>
          <wp:positionH relativeFrom="column">
            <wp:posOffset>-904875</wp:posOffset>
          </wp:positionH>
          <wp:positionV relativeFrom="paragraph">
            <wp:posOffset>-167250</wp:posOffset>
          </wp:positionV>
          <wp:extent cx="7542000" cy="10660940"/>
          <wp:effectExtent l="0" t="0" r="1905" b="7620"/>
          <wp:wrapNone/>
          <wp:docPr id="13321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043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0940"/>
                  </a:xfrm>
                  <a:prstGeom prst="rect">
                    <a:avLst/>
                  </a:prstGeom>
                </pic:spPr>
              </pic:pic>
            </a:graphicData>
          </a:graphic>
          <wp14:sizeRelH relativeFrom="margin">
            <wp14:pctWidth>0</wp14:pctWidth>
          </wp14:sizeRelH>
          <wp14:sizeRelV relativeFrom="margin">
            <wp14:pctHeight>0</wp14:pctHeight>
          </wp14:sizeRelV>
        </wp:anchor>
      </w:drawing>
    </w:r>
  </w:p>
  <w:p w14:paraId="162D1D22" w14:textId="77777777" w:rsidR="00365258" w:rsidRDefault="00365258"/>
  <w:p w14:paraId="5BC36379" w14:textId="77777777" w:rsidR="00365258" w:rsidRDefault="00365258"/>
  <w:p w14:paraId="71CC1167"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6E63121B"/>
    <w:multiLevelType w:val="hybridMultilevel"/>
    <w:tmpl w:val="80B043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 w:numId="100">
    <w:abstractNumId w:val="10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ED"/>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43DF"/>
    <w:rsid w:val="0006680B"/>
    <w:rsid w:val="0007145E"/>
    <w:rsid w:val="00082362"/>
    <w:rsid w:val="00090F95"/>
    <w:rsid w:val="000943C0"/>
    <w:rsid w:val="000A122E"/>
    <w:rsid w:val="000A3360"/>
    <w:rsid w:val="000A5353"/>
    <w:rsid w:val="000A70B6"/>
    <w:rsid w:val="000A76A3"/>
    <w:rsid w:val="000A7F23"/>
    <w:rsid w:val="000B1AA9"/>
    <w:rsid w:val="000B328F"/>
    <w:rsid w:val="000B4AD2"/>
    <w:rsid w:val="000C44CD"/>
    <w:rsid w:val="000C6C04"/>
    <w:rsid w:val="000D2A85"/>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4CFE"/>
    <w:rsid w:val="00156592"/>
    <w:rsid w:val="00161C1F"/>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37D7"/>
    <w:rsid w:val="00195240"/>
    <w:rsid w:val="001961D9"/>
    <w:rsid w:val="00196F4A"/>
    <w:rsid w:val="001A1FC1"/>
    <w:rsid w:val="001A3F27"/>
    <w:rsid w:val="001A46D2"/>
    <w:rsid w:val="001A4BA7"/>
    <w:rsid w:val="001B2949"/>
    <w:rsid w:val="001B2F76"/>
    <w:rsid w:val="001B30E2"/>
    <w:rsid w:val="001B357A"/>
    <w:rsid w:val="001B4172"/>
    <w:rsid w:val="001B6D9D"/>
    <w:rsid w:val="001B747A"/>
    <w:rsid w:val="001C027E"/>
    <w:rsid w:val="001C2A1A"/>
    <w:rsid w:val="001C326E"/>
    <w:rsid w:val="001C32F8"/>
    <w:rsid w:val="001D0913"/>
    <w:rsid w:val="001D4CC3"/>
    <w:rsid w:val="001D6422"/>
    <w:rsid w:val="001D7068"/>
    <w:rsid w:val="001E1A97"/>
    <w:rsid w:val="001E2151"/>
    <w:rsid w:val="001E4B28"/>
    <w:rsid w:val="001E5CB3"/>
    <w:rsid w:val="001F33D3"/>
    <w:rsid w:val="001F53BA"/>
    <w:rsid w:val="0020184A"/>
    <w:rsid w:val="002024EB"/>
    <w:rsid w:val="0020382B"/>
    <w:rsid w:val="0020626A"/>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4B54"/>
    <w:rsid w:val="0029204A"/>
    <w:rsid w:val="0029315B"/>
    <w:rsid w:val="00295050"/>
    <w:rsid w:val="002A264A"/>
    <w:rsid w:val="002A301E"/>
    <w:rsid w:val="002A39E9"/>
    <w:rsid w:val="002A48A1"/>
    <w:rsid w:val="002A50B6"/>
    <w:rsid w:val="002A7662"/>
    <w:rsid w:val="002B05E7"/>
    <w:rsid w:val="002B21F0"/>
    <w:rsid w:val="002B58C1"/>
    <w:rsid w:val="002B5A13"/>
    <w:rsid w:val="002C2B82"/>
    <w:rsid w:val="002C33FD"/>
    <w:rsid w:val="002C4891"/>
    <w:rsid w:val="002C7437"/>
    <w:rsid w:val="002D1916"/>
    <w:rsid w:val="002D25FA"/>
    <w:rsid w:val="002D6091"/>
    <w:rsid w:val="002E3046"/>
    <w:rsid w:val="002E51A3"/>
    <w:rsid w:val="002E6C20"/>
    <w:rsid w:val="002F151A"/>
    <w:rsid w:val="002F51B4"/>
    <w:rsid w:val="002F6A0D"/>
    <w:rsid w:val="00302388"/>
    <w:rsid w:val="00302DF2"/>
    <w:rsid w:val="003044BB"/>
    <w:rsid w:val="00306C2C"/>
    <w:rsid w:val="00311F35"/>
    <w:rsid w:val="0031307F"/>
    <w:rsid w:val="00313291"/>
    <w:rsid w:val="0031404E"/>
    <w:rsid w:val="00315FAD"/>
    <w:rsid w:val="003167D6"/>
    <w:rsid w:val="00321AD8"/>
    <w:rsid w:val="00321BD9"/>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3D6C"/>
    <w:rsid w:val="003B5AA8"/>
    <w:rsid w:val="003B6581"/>
    <w:rsid w:val="003B76B8"/>
    <w:rsid w:val="003C1D82"/>
    <w:rsid w:val="003C2590"/>
    <w:rsid w:val="003C644A"/>
    <w:rsid w:val="003D34E1"/>
    <w:rsid w:val="003E01BF"/>
    <w:rsid w:val="003E0696"/>
    <w:rsid w:val="003E2467"/>
    <w:rsid w:val="003E2634"/>
    <w:rsid w:val="003E3FF0"/>
    <w:rsid w:val="003E4190"/>
    <w:rsid w:val="003E47DB"/>
    <w:rsid w:val="003F0992"/>
    <w:rsid w:val="003F1830"/>
    <w:rsid w:val="003F2334"/>
    <w:rsid w:val="003F2CE6"/>
    <w:rsid w:val="003F3F04"/>
    <w:rsid w:val="003F4A1A"/>
    <w:rsid w:val="004005A3"/>
    <w:rsid w:val="00400911"/>
    <w:rsid w:val="00400E4E"/>
    <w:rsid w:val="00403374"/>
    <w:rsid w:val="004045E3"/>
    <w:rsid w:val="00404BA0"/>
    <w:rsid w:val="004074A5"/>
    <w:rsid w:val="00410BC6"/>
    <w:rsid w:val="0041172A"/>
    <w:rsid w:val="00411D2F"/>
    <w:rsid w:val="00416249"/>
    <w:rsid w:val="00420D33"/>
    <w:rsid w:val="00421A1A"/>
    <w:rsid w:val="00423987"/>
    <w:rsid w:val="004248EC"/>
    <w:rsid w:val="00425D4B"/>
    <w:rsid w:val="00426E82"/>
    <w:rsid w:val="00427240"/>
    <w:rsid w:val="00427DDA"/>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B40A7"/>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350B"/>
    <w:rsid w:val="00504B60"/>
    <w:rsid w:val="005162B4"/>
    <w:rsid w:val="00521204"/>
    <w:rsid w:val="005246D1"/>
    <w:rsid w:val="005320E8"/>
    <w:rsid w:val="00543083"/>
    <w:rsid w:val="00543E88"/>
    <w:rsid w:val="00546821"/>
    <w:rsid w:val="00553D77"/>
    <w:rsid w:val="00560E79"/>
    <w:rsid w:val="005654D8"/>
    <w:rsid w:val="00567298"/>
    <w:rsid w:val="0057374D"/>
    <w:rsid w:val="00576319"/>
    <w:rsid w:val="005773C1"/>
    <w:rsid w:val="00583B25"/>
    <w:rsid w:val="005843C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C6"/>
    <w:rsid w:val="005D3ADE"/>
    <w:rsid w:val="005D50C8"/>
    <w:rsid w:val="005E1E6D"/>
    <w:rsid w:val="005E4170"/>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1690"/>
    <w:rsid w:val="0063577F"/>
    <w:rsid w:val="006358FC"/>
    <w:rsid w:val="006423F0"/>
    <w:rsid w:val="006500E6"/>
    <w:rsid w:val="00650C13"/>
    <w:rsid w:val="0065150E"/>
    <w:rsid w:val="00651F0A"/>
    <w:rsid w:val="00651FA2"/>
    <w:rsid w:val="00656BC9"/>
    <w:rsid w:val="00656D97"/>
    <w:rsid w:val="00660535"/>
    <w:rsid w:val="006613B7"/>
    <w:rsid w:val="00664F15"/>
    <w:rsid w:val="00666C1F"/>
    <w:rsid w:val="00667694"/>
    <w:rsid w:val="00673410"/>
    <w:rsid w:val="006742F2"/>
    <w:rsid w:val="006747F9"/>
    <w:rsid w:val="006748D2"/>
    <w:rsid w:val="006753CD"/>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3515"/>
    <w:rsid w:val="006A62B1"/>
    <w:rsid w:val="006B49E3"/>
    <w:rsid w:val="006B5629"/>
    <w:rsid w:val="006B6B9C"/>
    <w:rsid w:val="006B7B17"/>
    <w:rsid w:val="006C4829"/>
    <w:rsid w:val="006C59A7"/>
    <w:rsid w:val="006C7CAF"/>
    <w:rsid w:val="006D02C4"/>
    <w:rsid w:val="006D2D7C"/>
    <w:rsid w:val="006D2E73"/>
    <w:rsid w:val="006D4090"/>
    <w:rsid w:val="006E0256"/>
    <w:rsid w:val="006E3F3A"/>
    <w:rsid w:val="006E61D3"/>
    <w:rsid w:val="006E70DE"/>
    <w:rsid w:val="006E7352"/>
    <w:rsid w:val="006F3A9F"/>
    <w:rsid w:val="00707827"/>
    <w:rsid w:val="00707BF5"/>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80280"/>
    <w:rsid w:val="0078199B"/>
    <w:rsid w:val="00782270"/>
    <w:rsid w:val="00787A63"/>
    <w:rsid w:val="00790043"/>
    <w:rsid w:val="0079082B"/>
    <w:rsid w:val="007930F3"/>
    <w:rsid w:val="00794341"/>
    <w:rsid w:val="0079569F"/>
    <w:rsid w:val="007965B1"/>
    <w:rsid w:val="00796F34"/>
    <w:rsid w:val="00797831"/>
    <w:rsid w:val="007A04B5"/>
    <w:rsid w:val="007A2C56"/>
    <w:rsid w:val="007A30DA"/>
    <w:rsid w:val="007A3515"/>
    <w:rsid w:val="007A3C79"/>
    <w:rsid w:val="007A797F"/>
    <w:rsid w:val="007B317B"/>
    <w:rsid w:val="007B38EC"/>
    <w:rsid w:val="007C0FA1"/>
    <w:rsid w:val="007C15FE"/>
    <w:rsid w:val="007C1C53"/>
    <w:rsid w:val="007C41B5"/>
    <w:rsid w:val="007D063A"/>
    <w:rsid w:val="007D45F8"/>
    <w:rsid w:val="007E07CD"/>
    <w:rsid w:val="007E24E5"/>
    <w:rsid w:val="007E301B"/>
    <w:rsid w:val="007E3B3F"/>
    <w:rsid w:val="007E3D1A"/>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3B87"/>
    <w:rsid w:val="00884284"/>
    <w:rsid w:val="008853F5"/>
    <w:rsid w:val="0089078B"/>
    <w:rsid w:val="008942BE"/>
    <w:rsid w:val="00895EE2"/>
    <w:rsid w:val="008973B4"/>
    <w:rsid w:val="008A2CFE"/>
    <w:rsid w:val="008A2FED"/>
    <w:rsid w:val="008A63C8"/>
    <w:rsid w:val="008B2476"/>
    <w:rsid w:val="008B604E"/>
    <w:rsid w:val="008C09EA"/>
    <w:rsid w:val="008C0FB8"/>
    <w:rsid w:val="008C1F14"/>
    <w:rsid w:val="008C3468"/>
    <w:rsid w:val="008C55AE"/>
    <w:rsid w:val="008D1D24"/>
    <w:rsid w:val="008D5186"/>
    <w:rsid w:val="008D6644"/>
    <w:rsid w:val="008E12C9"/>
    <w:rsid w:val="008E256B"/>
    <w:rsid w:val="008F2DB8"/>
    <w:rsid w:val="008F3E13"/>
    <w:rsid w:val="00902AE5"/>
    <w:rsid w:val="00903622"/>
    <w:rsid w:val="00903CB9"/>
    <w:rsid w:val="009076E8"/>
    <w:rsid w:val="00907E7B"/>
    <w:rsid w:val="0091134C"/>
    <w:rsid w:val="00911465"/>
    <w:rsid w:val="0091292C"/>
    <w:rsid w:val="00921571"/>
    <w:rsid w:val="00921595"/>
    <w:rsid w:val="00921F7F"/>
    <w:rsid w:val="00923016"/>
    <w:rsid w:val="00923104"/>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92852"/>
    <w:rsid w:val="00993030"/>
    <w:rsid w:val="009A13D7"/>
    <w:rsid w:val="009A1701"/>
    <w:rsid w:val="009A28F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1358"/>
    <w:rsid w:val="009E2247"/>
    <w:rsid w:val="009E2380"/>
    <w:rsid w:val="009E2D79"/>
    <w:rsid w:val="009E59D9"/>
    <w:rsid w:val="009F1BC1"/>
    <w:rsid w:val="009F4641"/>
    <w:rsid w:val="009F6D49"/>
    <w:rsid w:val="00A01E0B"/>
    <w:rsid w:val="00A02AE3"/>
    <w:rsid w:val="00A0364A"/>
    <w:rsid w:val="00A06D37"/>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60915"/>
    <w:rsid w:val="00A70D26"/>
    <w:rsid w:val="00A71687"/>
    <w:rsid w:val="00A734F8"/>
    <w:rsid w:val="00A74C82"/>
    <w:rsid w:val="00A77256"/>
    <w:rsid w:val="00A86615"/>
    <w:rsid w:val="00A87E9E"/>
    <w:rsid w:val="00A93827"/>
    <w:rsid w:val="00A9405C"/>
    <w:rsid w:val="00A942C1"/>
    <w:rsid w:val="00A97325"/>
    <w:rsid w:val="00A97E58"/>
    <w:rsid w:val="00AA07FC"/>
    <w:rsid w:val="00AA43BC"/>
    <w:rsid w:val="00AA6CC7"/>
    <w:rsid w:val="00AA7560"/>
    <w:rsid w:val="00AB4221"/>
    <w:rsid w:val="00AB45F2"/>
    <w:rsid w:val="00AC4957"/>
    <w:rsid w:val="00AC4B69"/>
    <w:rsid w:val="00AC590A"/>
    <w:rsid w:val="00AC7482"/>
    <w:rsid w:val="00AC77F0"/>
    <w:rsid w:val="00AC7A4D"/>
    <w:rsid w:val="00AD4A0E"/>
    <w:rsid w:val="00AE1B37"/>
    <w:rsid w:val="00AE3CD8"/>
    <w:rsid w:val="00AE51A5"/>
    <w:rsid w:val="00AE70D4"/>
    <w:rsid w:val="00AF0081"/>
    <w:rsid w:val="00AF2E3D"/>
    <w:rsid w:val="00AF3C84"/>
    <w:rsid w:val="00B00FF6"/>
    <w:rsid w:val="00B05617"/>
    <w:rsid w:val="00B060FA"/>
    <w:rsid w:val="00B079EA"/>
    <w:rsid w:val="00B11294"/>
    <w:rsid w:val="00B156CE"/>
    <w:rsid w:val="00B20C1F"/>
    <w:rsid w:val="00B21384"/>
    <w:rsid w:val="00B21545"/>
    <w:rsid w:val="00B25450"/>
    <w:rsid w:val="00B30884"/>
    <w:rsid w:val="00B30A5C"/>
    <w:rsid w:val="00B30B8E"/>
    <w:rsid w:val="00B325FE"/>
    <w:rsid w:val="00B33B05"/>
    <w:rsid w:val="00B40484"/>
    <w:rsid w:val="00B4055D"/>
    <w:rsid w:val="00B43792"/>
    <w:rsid w:val="00B44AD1"/>
    <w:rsid w:val="00B50916"/>
    <w:rsid w:val="00B52778"/>
    <w:rsid w:val="00B5373B"/>
    <w:rsid w:val="00B53FE6"/>
    <w:rsid w:val="00B57339"/>
    <w:rsid w:val="00B57A19"/>
    <w:rsid w:val="00B57CFC"/>
    <w:rsid w:val="00B60FEF"/>
    <w:rsid w:val="00B612DB"/>
    <w:rsid w:val="00B61873"/>
    <w:rsid w:val="00B623BD"/>
    <w:rsid w:val="00B6439E"/>
    <w:rsid w:val="00B67C25"/>
    <w:rsid w:val="00B72A17"/>
    <w:rsid w:val="00B81C29"/>
    <w:rsid w:val="00B820C9"/>
    <w:rsid w:val="00B8656A"/>
    <w:rsid w:val="00B87C25"/>
    <w:rsid w:val="00B940D0"/>
    <w:rsid w:val="00B944AA"/>
    <w:rsid w:val="00B9679C"/>
    <w:rsid w:val="00BA070B"/>
    <w:rsid w:val="00BA10ED"/>
    <w:rsid w:val="00BA2695"/>
    <w:rsid w:val="00BA27B8"/>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E6B21"/>
    <w:rsid w:val="00BF0EEF"/>
    <w:rsid w:val="00BF28F6"/>
    <w:rsid w:val="00BF2C41"/>
    <w:rsid w:val="00BF38C3"/>
    <w:rsid w:val="00BF393B"/>
    <w:rsid w:val="00BF4583"/>
    <w:rsid w:val="00C01AF8"/>
    <w:rsid w:val="00C07557"/>
    <w:rsid w:val="00C1011D"/>
    <w:rsid w:val="00C109D6"/>
    <w:rsid w:val="00C11EAA"/>
    <w:rsid w:val="00C13796"/>
    <w:rsid w:val="00C16829"/>
    <w:rsid w:val="00C16CDF"/>
    <w:rsid w:val="00C2075D"/>
    <w:rsid w:val="00C23937"/>
    <w:rsid w:val="00C25FF1"/>
    <w:rsid w:val="00C33CF2"/>
    <w:rsid w:val="00C3711E"/>
    <w:rsid w:val="00C40376"/>
    <w:rsid w:val="00C419A0"/>
    <w:rsid w:val="00C4422B"/>
    <w:rsid w:val="00C47672"/>
    <w:rsid w:val="00C47A69"/>
    <w:rsid w:val="00C50B64"/>
    <w:rsid w:val="00C5412A"/>
    <w:rsid w:val="00C545B8"/>
    <w:rsid w:val="00C607ED"/>
    <w:rsid w:val="00C61768"/>
    <w:rsid w:val="00C673DF"/>
    <w:rsid w:val="00C71B5E"/>
    <w:rsid w:val="00C7288D"/>
    <w:rsid w:val="00C72C42"/>
    <w:rsid w:val="00C84FC8"/>
    <w:rsid w:val="00C87375"/>
    <w:rsid w:val="00C97152"/>
    <w:rsid w:val="00C97CC6"/>
    <w:rsid w:val="00CA66AE"/>
    <w:rsid w:val="00CA7FCA"/>
    <w:rsid w:val="00CB33F8"/>
    <w:rsid w:val="00CC5A73"/>
    <w:rsid w:val="00CD2DD7"/>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15BB"/>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A6FD3"/>
    <w:rsid w:val="00DB0F0A"/>
    <w:rsid w:val="00DB49F0"/>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433D"/>
    <w:rsid w:val="00DF47E7"/>
    <w:rsid w:val="00DF5277"/>
    <w:rsid w:val="00DF74E5"/>
    <w:rsid w:val="00E0002A"/>
    <w:rsid w:val="00E00A23"/>
    <w:rsid w:val="00E01CE0"/>
    <w:rsid w:val="00E053A2"/>
    <w:rsid w:val="00E0655A"/>
    <w:rsid w:val="00E10173"/>
    <w:rsid w:val="00E11623"/>
    <w:rsid w:val="00E122E7"/>
    <w:rsid w:val="00E130BB"/>
    <w:rsid w:val="00E141F1"/>
    <w:rsid w:val="00E15D52"/>
    <w:rsid w:val="00E169E0"/>
    <w:rsid w:val="00E17D61"/>
    <w:rsid w:val="00E204EA"/>
    <w:rsid w:val="00E235D7"/>
    <w:rsid w:val="00E24278"/>
    <w:rsid w:val="00E24350"/>
    <w:rsid w:val="00E2768A"/>
    <w:rsid w:val="00E27A22"/>
    <w:rsid w:val="00E305D7"/>
    <w:rsid w:val="00E31C89"/>
    <w:rsid w:val="00E35765"/>
    <w:rsid w:val="00E35BCE"/>
    <w:rsid w:val="00E40F5D"/>
    <w:rsid w:val="00E41070"/>
    <w:rsid w:val="00E4771C"/>
    <w:rsid w:val="00E5360E"/>
    <w:rsid w:val="00E5798C"/>
    <w:rsid w:val="00E60D7A"/>
    <w:rsid w:val="00E60E2D"/>
    <w:rsid w:val="00E628D9"/>
    <w:rsid w:val="00E668F3"/>
    <w:rsid w:val="00E71994"/>
    <w:rsid w:val="00E71B4C"/>
    <w:rsid w:val="00E76DDD"/>
    <w:rsid w:val="00E77384"/>
    <w:rsid w:val="00E82DF9"/>
    <w:rsid w:val="00E90534"/>
    <w:rsid w:val="00E93906"/>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317F"/>
    <w:rsid w:val="00F357D1"/>
    <w:rsid w:val="00F41D18"/>
    <w:rsid w:val="00F450DE"/>
    <w:rsid w:val="00F472F9"/>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B569F"/>
    <w:rsid w:val="00FC1D5B"/>
    <w:rsid w:val="00FC3F7A"/>
    <w:rsid w:val="00FC624B"/>
    <w:rsid w:val="00FC635B"/>
    <w:rsid w:val="00FC6A8A"/>
    <w:rsid w:val="00FD037F"/>
    <w:rsid w:val="00FD0F58"/>
    <w:rsid w:val="00FD3928"/>
    <w:rsid w:val="00FD3F44"/>
    <w:rsid w:val="00FD4014"/>
    <w:rsid w:val="00FD46F7"/>
    <w:rsid w:val="00FE3A78"/>
    <w:rsid w:val="00FE4A1A"/>
    <w:rsid w:val="00FE4EA1"/>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17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numPr>
        <w:numId w:val="2"/>
      </w:numPr>
      <w:spacing w:before="240" w:after="120"/>
      <w:ind w:left="709" w:hanging="709"/>
      <w:outlineLvl w:val="0"/>
    </w:pPr>
    <w:rPr>
      <w:rFonts w:eastAsiaTheme="majorEastAsia" w:cs="Arial"/>
      <w:color w:val="F68B1F"/>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844505"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844505"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F68B1F"/>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F68B1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854505"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F68B1F"/>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F68B1F"/>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F68B1F"/>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F68B1F"/>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844505"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844505"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C7680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5E417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4170"/>
    <w:rPr>
      <w:rFonts w:eastAsiaTheme="minorEastAsia"/>
      <w:lang w:val="en-US"/>
    </w:rPr>
  </w:style>
  <w:style w:type="paragraph" w:styleId="NormalWeb">
    <w:name w:val="Normal (Web)"/>
    <w:basedOn w:val="Normal"/>
    <w:uiPriority w:val="99"/>
    <w:semiHidden/>
    <w:unhideWhenUsed/>
    <w:rsid w:val="00A97E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023901263">
      <w:bodyDiv w:val="1"/>
      <w:marLeft w:val="0"/>
      <w:marRight w:val="0"/>
      <w:marTop w:val="0"/>
      <w:marBottom w:val="0"/>
      <w:divBdr>
        <w:top w:val="none" w:sz="0" w:space="0" w:color="auto"/>
        <w:left w:val="none" w:sz="0" w:space="0" w:color="auto"/>
        <w:bottom w:val="none" w:sz="0" w:space="0" w:color="auto"/>
        <w:right w:val="none" w:sz="0" w:space="0" w:color="auto"/>
      </w:divBdr>
      <w:divsChild>
        <w:div w:id="1122966284">
          <w:marLeft w:val="0"/>
          <w:marRight w:val="0"/>
          <w:marTop w:val="0"/>
          <w:marBottom w:val="0"/>
          <w:divBdr>
            <w:top w:val="none" w:sz="0" w:space="0" w:color="auto"/>
            <w:left w:val="none" w:sz="0" w:space="0" w:color="auto"/>
            <w:bottom w:val="none" w:sz="0" w:space="0" w:color="auto"/>
            <w:right w:val="none" w:sz="0" w:space="0" w:color="auto"/>
          </w:divBdr>
        </w:div>
      </w:divsChild>
    </w:div>
    <w:div w:id="1106385749">
      <w:bodyDiv w:val="1"/>
      <w:marLeft w:val="0"/>
      <w:marRight w:val="0"/>
      <w:marTop w:val="0"/>
      <w:marBottom w:val="0"/>
      <w:divBdr>
        <w:top w:val="none" w:sz="0" w:space="0" w:color="auto"/>
        <w:left w:val="none" w:sz="0" w:space="0" w:color="auto"/>
        <w:bottom w:val="none" w:sz="0" w:space="0" w:color="auto"/>
        <w:right w:val="none" w:sz="0" w:space="0" w:color="auto"/>
      </w:divBdr>
      <w:divsChild>
        <w:div w:id="1304117451">
          <w:marLeft w:val="0"/>
          <w:marRight w:val="0"/>
          <w:marTop w:val="0"/>
          <w:marBottom w:val="0"/>
          <w:divBdr>
            <w:top w:val="none" w:sz="0" w:space="0" w:color="auto"/>
            <w:left w:val="none" w:sz="0" w:space="0" w:color="auto"/>
            <w:bottom w:val="none" w:sz="0" w:space="0" w:color="auto"/>
            <w:right w:val="none" w:sz="0" w:space="0" w:color="auto"/>
          </w:divBdr>
          <w:divsChild>
            <w:div w:id="1459182010">
              <w:marLeft w:val="0"/>
              <w:marRight w:val="0"/>
              <w:marTop w:val="0"/>
              <w:marBottom w:val="0"/>
              <w:divBdr>
                <w:top w:val="none" w:sz="0" w:space="0" w:color="auto"/>
                <w:left w:val="none" w:sz="0" w:space="0" w:color="auto"/>
                <w:bottom w:val="none" w:sz="0" w:space="0" w:color="auto"/>
                <w:right w:val="none" w:sz="0" w:space="0" w:color="auto"/>
              </w:divBdr>
              <w:divsChild>
                <w:div w:id="91442253">
                  <w:marLeft w:val="0"/>
                  <w:marRight w:val="0"/>
                  <w:marTop w:val="0"/>
                  <w:marBottom w:val="0"/>
                  <w:divBdr>
                    <w:top w:val="none" w:sz="0" w:space="0" w:color="auto"/>
                    <w:left w:val="none" w:sz="0" w:space="0" w:color="auto"/>
                    <w:bottom w:val="none" w:sz="0" w:space="0" w:color="auto"/>
                    <w:right w:val="none" w:sz="0" w:space="0" w:color="auto"/>
                  </w:divBdr>
                  <w:divsChild>
                    <w:div w:id="1461613032">
                      <w:marLeft w:val="0"/>
                      <w:marRight w:val="0"/>
                      <w:marTop w:val="0"/>
                      <w:marBottom w:val="0"/>
                      <w:divBdr>
                        <w:top w:val="none" w:sz="0" w:space="0" w:color="auto"/>
                        <w:left w:val="none" w:sz="0" w:space="0" w:color="auto"/>
                        <w:bottom w:val="none" w:sz="0" w:space="0" w:color="auto"/>
                        <w:right w:val="none" w:sz="0" w:space="0" w:color="auto"/>
                      </w:divBdr>
                      <w:divsChild>
                        <w:div w:id="867374657">
                          <w:marLeft w:val="0"/>
                          <w:marRight w:val="0"/>
                          <w:marTop w:val="0"/>
                          <w:marBottom w:val="0"/>
                          <w:divBdr>
                            <w:top w:val="none" w:sz="0" w:space="0" w:color="auto"/>
                            <w:left w:val="none" w:sz="0" w:space="0" w:color="auto"/>
                            <w:bottom w:val="none" w:sz="0" w:space="0" w:color="auto"/>
                            <w:right w:val="none" w:sz="0" w:space="0" w:color="auto"/>
                          </w:divBdr>
                          <w:divsChild>
                            <w:div w:id="278991424">
                              <w:marLeft w:val="0"/>
                              <w:marRight w:val="0"/>
                              <w:marTop w:val="0"/>
                              <w:marBottom w:val="0"/>
                              <w:divBdr>
                                <w:top w:val="none" w:sz="0" w:space="0" w:color="auto"/>
                                <w:left w:val="none" w:sz="0" w:space="0" w:color="auto"/>
                                <w:bottom w:val="none" w:sz="0" w:space="0" w:color="auto"/>
                                <w:right w:val="none" w:sz="0" w:space="0" w:color="auto"/>
                              </w:divBdr>
                              <w:divsChild>
                                <w:div w:id="1193420806">
                                  <w:marLeft w:val="0"/>
                                  <w:marRight w:val="0"/>
                                  <w:marTop w:val="0"/>
                                  <w:marBottom w:val="0"/>
                                  <w:divBdr>
                                    <w:top w:val="none" w:sz="0" w:space="0" w:color="auto"/>
                                    <w:left w:val="none" w:sz="0" w:space="0" w:color="auto"/>
                                    <w:bottom w:val="none" w:sz="0" w:space="0" w:color="auto"/>
                                    <w:right w:val="none" w:sz="0" w:space="0" w:color="auto"/>
                                  </w:divBdr>
                                  <w:divsChild>
                                    <w:div w:id="1751198818">
                                      <w:marLeft w:val="0"/>
                                      <w:marRight w:val="0"/>
                                      <w:marTop w:val="0"/>
                                      <w:marBottom w:val="0"/>
                                      <w:divBdr>
                                        <w:top w:val="none" w:sz="0" w:space="0" w:color="auto"/>
                                        <w:left w:val="none" w:sz="0" w:space="0" w:color="auto"/>
                                        <w:bottom w:val="none" w:sz="0" w:space="0" w:color="auto"/>
                                        <w:right w:val="none" w:sz="0" w:space="0" w:color="auto"/>
                                      </w:divBdr>
                                      <w:divsChild>
                                        <w:div w:id="2021808791">
                                          <w:marLeft w:val="0"/>
                                          <w:marRight w:val="0"/>
                                          <w:marTop w:val="0"/>
                                          <w:marBottom w:val="0"/>
                                          <w:divBdr>
                                            <w:top w:val="none" w:sz="0" w:space="0" w:color="auto"/>
                                            <w:left w:val="none" w:sz="0" w:space="0" w:color="auto"/>
                                            <w:bottom w:val="none" w:sz="0" w:space="0" w:color="auto"/>
                                            <w:right w:val="none" w:sz="0" w:space="0" w:color="auto"/>
                                          </w:divBdr>
                                          <w:divsChild>
                                            <w:div w:id="252860892">
                                              <w:marLeft w:val="0"/>
                                              <w:marRight w:val="0"/>
                                              <w:marTop w:val="0"/>
                                              <w:marBottom w:val="0"/>
                                              <w:divBdr>
                                                <w:top w:val="none" w:sz="0" w:space="0" w:color="auto"/>
                                                <w:left w:val="none" w:sz="0" w:space="0" w:color="auto"/>
                                                <w:bottom w:val="none" w:sz="0" w:space="0" w:color="auto"/>
                                                <w:right w:val="none" w:sz="0" w:space="0" w:color="auto"/>
                                              </w:divBdr>
                                              <w:divsChild>
                                                <w:div w:id="1301501368">
                                                  <w:marLeft w:val="0"/>
                                                  <w:marRight w:val="0"/>
                                                  <w:marTop w:val="0"/>
                                                  <w:marBottom w:val="0"/>
                                                  <w:divBdr>
                                                    <w:top w:val="none" w:sz="0" w:space="0" w:color="auto"/>
                                                    <w:left w:val="none" w:sz="0" w:space="0" w:color="auto"/>
                                                    <w:bottom w:val="none" w:sz="0" w:space="0" w:color="auto"/>
                                                    <w:right w:val="none" w:sz="0" w:space="0" w:color="auto"/>
                                                  </w:divBdr>
                                                  <w:divsChild>
                                                    <w:div w:id="12853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 w:id="1924679713">
      <w:bodyDiv w:val="1"/>
      <w:marLeft w:val="0"/>
      <w:marRight w:val="0"/>
      <w:marTop w:val="0"/>
      <w:marBottom w:val="0"/>
      <w:divBdr>
        <w:top w:val="none" w:sz="0" w:space="0" w:color="auto"/>
        <w:left w:val="none" w:sz="0" w:space="0" w:color="auto"/>
        <w:bottom w:val="none" w:sz="0" w:space="0" w:color="auto"/>
        <w:right w:val="none" w:sz="0" w:space="0" w:color="auto"/>
      </w:divBdr>
      <w:divsChild>
        <w:div w:id="569923863">
          <w:marLeft w:val="0"/>
          <w:marRight w:val="0"/>
          <w:marTop w:val="0"/>
          <w:marBottom w:val="0"/>
          <w:divBdr>
            <w:top w:val="none" w:sz="0" w:space="0" w:color="auto"/>
            <w:left w:val="none" w:sz="0" w:space="0" w:color="auto"/>
            <w:bottom w:val="none" w:sz="0" w:space="0" w:color="auto"/>
            <w:right w:val="none" w:sz="0" w:space="0" w:color="auto"/>
          </w:divBdr>
          <w:divsChild>
            <w:div w:id="416438279">
              <w:marLeft w:val="0"/>
              <w:marRight w:val="0"/>
              <w:marTop w:val="0"/>
              <w:marBottom w:val="0"/>
              <w:divBdr>
                <w:top w:val="none" w:sz="0" w:space="0" w:color="auto"/>
                <w:left w:val="none" w:sz="0" w:space="0" w:color="auto"/>
                <w:bottom w:val="none" w:sz="0" w:space="0" w:color="auto"/>
                <w:right w:val="none" w:sz="0" w:space="0" w:color="auto"/>
              </w:divBdr>
              <w:divsChild>
                <w:div w:id="1056396895">
                  <w:marLeft w:val="0"/>
                  <w:marRight w:val="0"/>
                  <w:marTop w:val="0"/>
                  <w:marBottom w:val="0"/>
                  <w:divBdr>
                    <w:top w:val="none" w:sz="0" w:space="0" w:color="auto"/>
                    <w:left w:val="none" w:sz="0" w:space="0" w:color="auto"/>
                    <w:bottom w:val="none" w:sz="0" w:space="0" w:color="auto"/>
                    <w:right w:val="none" w:sz="0" w:space="0" w:color="auto"/>
                  </w:divBdr>
                  <w:divsChild>
                    <w:div w:id="784354024">
                      <w:marLeft w:val="0"/>
                      <w:marRight w:val="0"/>
                      <w:marTop w:val="0"/>
                      <w:marBottom w:val="0"/>
                      <w:divBdr>
                        <w:top w:val="none" w:sz="0" w:space="0" w:color="auto"/>
                        <w:left w:val="none" w:sz="0" w:space="0" w:color="auto"/>
                        <w:bottom w:val="none" w:sz="0" w:space="0" w:color="auto"/>
                        <w:right w:val="none" w:sz="0" w:space="0" w:color="auto"/>
                      </w:divBdr>
                      <w:divsChild>
                        <w:div w:id="1925915288">
                          <w:marLeft w:val="0"/>
                          <w:marRight w:val="0"/>
                          <w:marTop w:val="0"/>
                          <w:marBottom w:val="0"/>
                          <w:divBdr>
                            <w:top w:val="none" w:sz="0" w:space="0" w:color="auto"/>
                            <w:left w:val="none" w:sz="0" w:space="0" w:color="auto"/>
                            <w:bottom w:val="none" w:sz="0" w:space="0" w:color="auto"/>
                            <w:right w:val="none" w:sz="0" w:space="0" w:color="auto"/>
                          </w:divBdr>
                          <w:divsChild>
                            <w:div w:id="2008358103">
                              <w:marLeft w:val="0"/>
                              <w:marRight w:val="0"/>
                              <w:marTop w:val="0"/>
                              <w:marBottom w:val="0"/>
                              <w:divBdr>
                                <w:top w:val="none" w:sz="0" w:space="0" w:color="auto"/>
                                <w:left w:val="none" w:sz="0" w:space="0" w:color="auto"/>
                                <w:bottom w:val="none" w:sz="0" w:space="0" w:color="auto"/>
                                <w:right w:val="none" w:sz="0" w:space="0" w:color="auto"/>
                              </w:divBdr>
                              <w:divsChild>
                                <w:div w:id="923950577">
                                  <w:marLeft w:val="0"/>
                                  <w:marRight w:val="0"/>
                                  <w:marTop w:val="0"/>
                                  <w:marBottom w:val="0"/>
                                  <w:divBdr>
                                    <w:top w:val="none" w:sz="0" w:space="0" w:color="auto"/>
                                    <w:left w:val="none" w:sz="0" w:space="0" w:color="auto"/>
                                    <w:bottom w:val="none" w:sz="0" w:space="0" w:color="auto"/>
                                    <w:right w:val="none" w:sz="0" w:space="0" w:color="auto"/>
                                  </w:divBdr>
                                  <w:divsChild>
                                    <w:div w:id="839387725">
                                      <w:marLeft w:val="0"/>
                                      <w:marRight w:val="0"/>
                                      <w:marTop w:val="0"/>
                                      <w:marBottom w:val="0"/>
                                      <w:divBdr>
                                        <w:top w:val="none" w:sz="0" w:space="0" w:color="auto"/>
                                        <w:left w:val="none" w:sz="0" w:space="0" w:color="auto"/>
                                        <w:bottom w:val="none" w:sz="0" w:space="0" w:color="auto"/>
                                        <w:right w:val="none" w:sz="0" w:space="0" w:color="auto"/>
                                      </w:divBdr>
                                      <w:divsChild>
                                        <w:div w:id="183635813">
                                          <w:marLeft w:val="0"/>
                                          <w:marRight w:val="0"/>
                                          <w:marTop w:val="0"/>
                                          <w:marBottom w:val="0"/>
                                          <w:divBdr>
                                            <w:top w:val="none" w:sz="0" w:space="0" w:color="auto"/>
                                            <w:left w:val="none" w:sz="0" w:space="0" w:color="auto"/>
                                            <w:bottom w:val="none" w:sz="0" w:space="0" w:color="auto"/>
                                            <w:right w:val="none" w:sz="0" w:space="0" w:color="auto"/>
                                          </w:divBdr>
                                          <w:divsChild>
                                            <w:div w:id="1327636706">
                                              <w:marLeft w:val="0"/>
                                              <w:marRight w:val="0"/>
                                              <w:marTop w:val="0"/>
                                              <w:marBottom w:val="0"/>
                                              <w:divBdr>
                                                <w:top w:val="none" w:sz="0" w:space="0" w:color="auto"/>
                                                <w:left w:val="none" w:sz="0" w:space="0" w:color="auto"/>
                                                <w:bottom w:val="none" w:sz="0" w:space="0" w:color="auto"/>
                                                <w:right w:val="none" w:sz="0" w:space="0" w:color="auto"/>
                                              </w:divBdr>
                                              <w:divsChild>
                                                <w:div w:id="505900829">
                                                  <w:marLeft w:val="0"/>
                                                  <w:marRight w:val="0"/>
                                                  <w:marTop w:val="0"/>
                                                  <w:marBottom w:val="0"/>
                                                  <w:divBdr>
                                                    <w:top w:val="none" w:sz="0" w:space="0" w:color="auto"/>
                                                    <w:left w:val="none" w:sz="0" w:space="0" w:color="auto"/>
                                                    <w:bottom w:val="none" w:sz="0" w:space="0" w:color="auto"/>
                                                    <w:right w:val="none" w:sz="0" w:space="0" w:color="auto"/>
                                                  </w:divBdr>
                                                  <w:divsChild>
                                                    <w:div w:id="1047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1926">
      <w:bodyDiv w:val="1"/>
      <w:marLeft w:val="0"/>
      <w:marRight w:val="0"/>
      <w:marTop w:val="0"/>
      <w:marBottom w:val="0"/>
      <w:divBdr>
        <w:top w:val="none" w:sz="0" w:space="0" w:color="auto"/>
        <w:left w:val="none" w:sz="0" w:space="0" w:color="auto"/>
        <w:bottom w:val="none" w:sz="0" w:space="0" w:color="auto"/>
        <w:right w:val="none" w:sz="0" w:space="0" w:color="auto"/>
      </w:divBdr>
      <w:divsChild>
        <w:div w:id="1945258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olicy@portphillip.vic.gov.au"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communications@portphillip.vic.gov.au" TargetMode="External"/><Relationship Id="rId17" Type="http://schemas.openxmlformats.org/officeDocument/2006/relationships/hyperlink" Target="https://www.portphillip.vic.gov.au/about-the-council/divercity-enews-and-local-me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tranet-cms.portphillip.vic.gov.au/media/n5ljnno4/instrument-attestations.dot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 Id="rId20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F68B1F"/>
      </a:accent1>
      <a:accent2>
        <a:srgbClr val="AF262F"/>
      </a:accent2>
      <a:accent3>
        <a:srgbClr val="6A0006"/>
      </a:accent3>
      <a:accent4>
        <a:srgbClr val="20ABAD"/>
      </a:accent4>
      <a:accent5>
        <a:srgbClr val="007184"/>
      </a:accent5>
      <a:accent6>
        <a:srgbClr val="38322F"/>
      </a:accent6>
      <a:hlink>
        <a:srgbClr val="854505"/>
      </a:hlink>
      <a:folHlink>
        <a:srgbClr val="C7680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46FFA344-E7EF-441C-BCA7-41D33E798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F97C1D20-0468-4C5D-B52E-3951258C46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Process v2.dotx</Template>
  <TotalTime>1</TotalTime>
  <Pages>11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Councillor Individual Briefing Guidelines</dc:title>
  <dc:subject/>
  <dc:creator>malong</dc:creator>
  <cp:keywords/>
  <dc:description/>
  <cp:lastModifiedBy>Ben Nelson</cp:lastModifiedBy>
  <cp:revision>2</cp:revision>
  <cp:lastPrinted>2026-06-19T05:29:00Z</cp:lastPrinted>
  <dcterms:created xsi:type="dcterms:W3CDTF">2026-08-11T03:18:00Z</dcterms:created>
  <dcterms:modified xsi:type="dcterms:W3CDTF">2026-08-11T03:18:00Z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5235800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