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91754191"/>
        <w:docPartObj>
          <w:docPartGallery w:val="Cover Pages"/>
          <w:docPartUnique/>
        </w:docPartObj>
      </w:sdtPr>
      <w:sdtEndPr>
        <w:rPr>
          <w:rFonts w:cs="Arial"/>
          <w:b/>
          <w:bCs/>
          <w:color w:val="38322F"/>
          <w:sz w:val="32"/>
          <w:szCs w:val="32"/>
        </w:rPr>
      </w:sdtEndPr>
      <w:sdtContent>
        <w:p w14:paraId="0FF5FCB7" w14:textId="0348087B" w:rsidR="005805C0" w:rsidRDefault="005805C0"/>
        <w:p w14:paraId="1D1A2B25" w14:textId="664D0FEF" w:rsidR="005805C0" w:rsidRDefault="00C97ABA">
          <w:pPr>
            <w:rPr>
              <w:rFonts w:cs="Arial"/>
              <w:b/>
              <w:bCs/>
              <w:color w:val="38322F"/>
              <w:sz w:val="32"/>
              <w:szCs w:val="32"/>
            </w:rPr>
          </w:pPr>
          <w:r>
            <w:rPr>
              <w:rFonts w:cs="Arial"/>
              <w:b/>
              <w:bCs/>
              <w:noProof/>
              <w:color w:val="38322F"/>
              <w:sz w:val="32"/>
              <w:szCs w:val="32"/>
            </w:rPr>
            <mc:AlternateContent>
              <mc:Choice Requires="wps">
                <w:drawing>
                  <wp:anchor distT="45720" distB="45720" distL="114300" distR="114300" simplePos="0" relativeHeight="251658240" behindDoc="0" locked="0" layoutInCell="1" allowOverlap="1" wp14:anchorId="35692F0C" wp14:editId="383FCAE1">
                    <wp:simplePos x="0" y="0"/>
                    <wp:positionH relativeFrom="column">
                      <wp:posOffset>46990</wp:posOffset>
                    </wp:positionH>
                    <wp:positionV relativeFrom="paragraph">
                      <wp:posOffset>2693670</wp:posOffset>
                    </wp:positionV>
                    <wp:extent cx="5705475" cy="3219450"/>
                    <wp:effectExtent l="0" t="0" r="9525" b="0"/>
                    <wp:wrapSquare wrapText="bothSides"/>
                    <wp:docPr id="8802586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5475" cy="3219450"/>
                            </a:xfrm>
                            <a:prstGeom prst="rect">
                              <a:avLst/>
                            </a:prstGeom>
                            <a:noFill/>
                            <a:ln w="9525">
                              <a:noFill/>
                              <a:miter lim="800000"/>
                              <a:headEnd/>
                              <a:tailEnd/>
                            </a:ln>
                          </wps:spPr>
                          <wps:txbx>
                            <w:txbxContent>
                              <w:p w14:paraId="69963E46" w14:textId="5B4F2251" w:rsidR="00CB2668" w:rsidRPr="00B96557" w:rsidRDefault="00CB2668" w:rsidP="00CB2668">
                                <w:pPr>
                                  <w:rPr>
                                    <w:color w:val="FFFFFF" w:themeColor="background1"/>
                                    <w:sz w:val="96"/>
                                    <w:szCs w:val="96"/>
                                  </w:rPr>
                                </w:pPr>
                                <w:r>
                                  <w:rPr>
                                    <w:color w:val="FFFFFF" w:themeColor="background1"/>
                                    <w:sz w:val="96"/>
                                    <w:szCs w:val="96"/>
                                  </w:rPr>
                                  <w:t xml:space="preserve">Councillor Interaction and Request Protocol</w:t>
                                </w:r>
                              </w:p>
                              <w:p w14:paraId="43E0032F" w14:textId="77777777" w:rsidR="00CB2668" w:rsidRPr="00B96557" w:rsidRDefault="00CB2668" w:rsidP="00CB2668">
                                <w:pPr>
                                  <w:rPr>
                                    <w:color w:val="FFFFFF" w:themeColor="background1"/>
                                    <w:sz w:val="52"/>
                                    <w:szCs w:val="52"/>
                                  </w:rPr>
                                </w:pPr>
                                <w:r>
                                  <w:rPr>
                                    <w:color w:val="FFFFFF" w:themeColor="background1"/>
                                    <w:sz w:val="52"/>
                                    <w:szCs w:val="52"/>
                                  </w:rPr>
                                  <w:t>Version 2</w:t>
                                </w:r>
                              </w:p>
                              <w:p w14:paraId="1D1C6B4C" w14:textId="0181BF58" w:rsidR="00C97ABA" w:rsidRDefault="00C97ABA"/>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5692F0C" id="_x0000_t202" coordsize="21600,21600" o:spt="202" path="m,l,21600r21600,l21600,xe">
                    <v:stroke joinstyle="miter"/>
                    <v:path gradientshapeok="t" o:connecttype="rect"/>
                  </v:shapetype>
                  <v:shape id="Text Box 2" o:spid="_x0000_s1026" type="#_x0000_t202" style="position:absolute;margin-left:3.7pt;margin-top:212.1pt;width:449.25pt;height:253.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ZghX8QEAAL4DAAAOAAAAZHJzL2Uyb0RvYy54bWysU8tu2zAQvBfoPxC815LdqEkEy0GaNEWB 9AEk/YA1RVlESS5L0pbcr8+Ssp2guRXVgViK3Nmd2eHyajSa7aQPCm3D57OSM2kFtspuGv7z8e7d BWchgm1Bo5UN38vAr1Zv3ywHV8sF9qhb6RmB2FAPruF9jK4uiiB6aSDM0ElLhx16A5G2flO0HgZC N7pYlOWHYkDfOo9ChkB/b6dDvsr4XSdF/N51QUamG069xbz6vK7TWqyWUG88uF6JQxvwD10YUJaK nqBuIQLbevUKyijhMWAXZwJNgV2nhMwciM28/IvNQw9OZi4kTnAnmcL/gxXfdg/uh2dx/IgjDTCT CO4exa/ALN70YDfy2nscegktFZ4nyYrBhfqQmqQOdUgg6+ErtjRk2EbMQGPnTVKFeDJCpwHsT6LL MTJBP6vzsjo7rzgTdPZ+Mb88q/JYCqiP6c6H+FmiYSlouKepZnjY3YeY2oH6eCVVs3intM6T1ZYN Db+sFlVOeHFiVCTjaWUaflGmb7JCYvnJtjk5gtJTTAW0PdBOTCfOcVyPdDHRX2O7JwE8TgajB0FB j/4PZwOZq+Hh9xa85Ex/sSRicuIx8MdgfQzACkpteORsCm9iduzE7ZrE7VSm/Vz50BuZJKtxMHRy 4ct9vvX87FZPAAAA//8DAFBLAwQUAAYACAAAACEAqxJ+A98AAAAJAQAADwAAAGRycy9kb3ducmV2 LnhtbEyPwU7DMBBE70j8g7VI3KjdEEoT4lQVghMSIg2HHp3YTazG6xC7bfh7lhPcZjWjmbfFZnYD O5spWI8SlgsBzGDrtcVOwmf9ercGFqJCrQaPRsK3CbApr68KlWt/wcqcd7FjVIIhVxL6GMec89D2 xqmw8KNB8g5+cirSOXVcT+pC5W7giRAr7pRFWujVaJ570x53Jydhu8fqxX69Nx/VobJ1nQl8Wx2l vL2Zt0/AopnjXxh+8QkdSmJq/Al1YIOEx5SCEtIkTYCRn4mHDFhD4n6ZAC8L/v+D8gcAAP//AwBQ SwECLQAUAAYACAAAACEAtoM4kv4AAADhAQAAEwAAAAAAAAAAAAAAAAAAAAAAW0NvbnRlbnRfVHlw ZXNdLnhtbFBLAQItABQABgAIAAAAIQA4/SH/1gAAAJQBAAALAAAAAAAAAAAAAAAAAC8BAABfcmVs cy8ucmVsc1BLAQItABQABgAIAAAAIQDvZghX8QEAAL4DAAAOAAAAAAAAAAAAAAAAAC4CAABkcnMv ZTJvRG9jLnhtbFBLAQItABQABgAIAAAAIQCrEn4D3wAAAAkBAAAPAAAAAAAAAAAAAAAAAEsEAABk cnMvZG93bnJldi54bWxQSwUGAAAAAAQABADzAAAAVwUAAAAA " filled="f" stroked="f">
                    <v:textbox inset="0,0,0,0">
                      <w:txbxContent>
                        <w:p w14:paraId="69963E46" w14:textId="5B4F2251" w:rsidR="00CB2668" w:rsidRPr="00B96557" w:rsidRDefault="00CB2668" w:rsidP="00CB2668">
                          <w:pPr>
                            <w:rPr>
                              <w:color w:val="FFFFFF" w:themeColor="background1"/>
                              <w:sz w:val="96"/>
                              <w:szCs w:val="96"/>
                            </w:rPr>
                          </w:pPr>
                          <w:r>
                            <w:rPr>
                              <w:color w:val="FFFFFF" w:themeColor="background1"/>
                              <w:sz w:val="96"/>
                              <w:szCs w:val="96"/>
                            </w:rPr>
                            <w:t xml:space="preserve">Councillor Interaction and Request Protocol</w:t>
                          </w:r>
                        </w:p>
                        <w:p w14:paraId="43E0032F" w14:textId="77777777" w:rsidR="00CB2668" w:rsidRPr="00B96557" w:rsidRDefault="00CB2668" w:rsidP="00CB2668">
                          <w:pPr>
                            <w:rPr>
                              <w:color w:val="FFFFFF" w:themeColor="background1"/>
                              <w:sz w:val="52"/>
                              <w:szCs w:val="52"/>
                            </w:rPr>
                          </w:pPr>
                          <w:r>
                            <w:rPr>
                              <w:color w:val="FFFFFF" w:themeColor="background1"/>
                              <w:sz w:val="52"/>
                              <w:szCs w:val="52"/>
                            </w:rPr>
                            <w:t>Version 2</w:t>
                          </w:r>
                        </w:p>
                        <w:p w14:paraId="1D1C6B4C" w14:textId="0181BF58" w:rsidR="00C97ABA" w:rsidRDefault="00C97ABA"/>
                      </w:txbxContent>
                    </v:textbox>
                    <w10:wrap type="square"/>
                  </v:shape>
                </w:pict>
              </mc:Fallback>
            </mc:AlternateContent>
          </w:r>
          <w:r>
            <w:rPr>
              <w:rFonts w:cs="Arial"/>
              <w:b/>
              <w:bCs/>
              <w:color w:val="38322F"/>
              <w:sz w:val="32"/>
              <w:szCs w:val="32"/>
            </w:rPr>
            <w:br w:type="page"/>
          </w:r>
        </w:p>
      </w:sdtContent>
    </w:sdt>
    <w:p w14:paraId="4BC6C51C" w14:textId="77777777" w:rsidR="001D5949" w:rsidRDefault="001D5949" w:rsidP="001D5949">
      <w:pPr>
        <w:pStyle w:val="Heading4"/>
      </w:pPr>
      <w:r>
        <w:rPr>
          <w:noProof/>
        </w:rPr>
        <w:lastRenderedPageBreak/>
        <w:drawing>
          <wp:inline distT="0" distB="0" distL="0" distR="0" wp14:anchorId="6C82E00E" wp14:editId="73DA68CD">
            <wp:extent cx="1244600" cy="1244600"/>
            <wp:effectExtent l="0" t="0" r="0" b="0"/>
            <wp:docPr id="37" name="Picture 37" descr="City of Port Philli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City of Port Phillip logo"/>
                    <pic:cNvPicPr/>
                  </pic:nvPicPr>
                  <pic:blipFill>
                    <a:blip r:embed="rId14">
                      <a:extLst>
                        <a:ext uri="{28A0092B-C50C-407E-A947-70E740481C1C}">
                          <a14:useLocalDpi xmlns:a14="http://schemas.microsoft.com/office/drawing/2010/main" val="0"/>
                        </a:ext>
                      </a:extLst>
                    </a:blip>
                    <a:stretch>
                      <a:fillRect/>
                    </a:stretch>
                  </pic:blipFill>
                  <pic:spPr>
                    <a:xfrm>
                      <a:off x="0" y="0"/>
                      <a:ext cx="1248946" cy="1248946"/>
                    </a:xfrm>
                    <a:prstGeom prst="rect">
                      <a:avLst/>
                    </a:prstGeom>
                  </pic:spPr>
                </pic:pic>
              </a:graphicData>
            </a:graphic>
          </wp:inline>
        </w:drawing>
      </w:r>
    </w:p>
    <w:p w14:paraId="2384A8ED" w14:textId="77777777" w:rsidR="001D5949" w:rsidRPr="00BD0F6D" w:rsidRDefault="001D5949" w:rsidP="001D5949">
      <w:pPr>
        <w:pStyle w:val="Heading4"/>
      </w:pPr>
      <w:r>
        <w:t>City of Port Phillip</w:t>
      </w:r>
    </w:p>
    <w:p w14:paraId="33515933" w14:textId="77777777" w:rsidR="001D5949" w:rsidRDefault="001D5949" w:rsidP="001D5949">
      <w:pPr>
        <w:spacing w:after="0"/>
      </w:pPr>
      <w:r>
        <w:t>99a Carlisle Street</w:t>
      </w:r>
    </w:p>
    <w:p w14:paraId="52D7CFD8" w14:textId="77777777" w:rsidR="001D5949" w:rsidRPr="000865EB" w:rsidRDefault="001D5949" w:rsidP="001D5949">
      <w:r>
        <w:t>St Kilda VIC 3182</w:t>
        <w:tab/>
        <w:tab/>
      </w:r>
    </w:p>
    <w:p w14:paraId="3C4D74E6" w14:textId="77777777" w:rsidR="001D5949" w:rsidRDefault="001D5949" w:rsidP="001D5949">
      <w:pPr>
        <w:spacing w:after="0"/>
      </w:pPr>
      <w:r>
        <w:t>Phone:</w:t>
      </w:r>
      <w:r>
        <w:rPr>
          <w:rFonts w:ascii="Poppins SemiBold" w:hAnsi="Poppins SemiBold" w:cs="Poppins SemiBold"/>
        </w:rPr>
        <w:t xml:space="preserve"> ASSIST</w:t>
      </w:r>
      <w:r>
        <w:t xml:space="preserve"> 03 9209 6777</w:t>
      </w:r>
    </w:p>
    <w:p w14:paraId="028A76D2" w14:textId="77777777" w:rsidR="001D5949" w:rsidRDefault="001D5949" w:rsidP="001D5949">
      <w:pPr>
        <w:spacing w:after="0"/>
      </w:pPr>
      <w:r>
        <w:t xml:space="preserve">Email: </w:t>
      </w:r>
      <w:hyperlink r:id="rId15" w:history="1">
        <w:r>
          <w:rPr>
            <w:rStyle w:val="Hyperlink"/>
          </w:rPr>
          <w:t>portphillip.vic.gov.au/contact-us</w:t>
        </w:r>
      </w:hyperlink>
    </w:p>
    <w:p w14:paraId="14FD12E9" w14:textId="77777777" w:rsidR="001D5949" w:rsidRDefault="001D5949" w:rsidP="001D5949">
      <w:pPr>
        <w:spacing w:after="120"/>
      </w:pPr>
      <w:r>
        <w:t xml:space="preserve">Website: </w:t>
      </w:r>
      <w:hyperlink r:id="rId16" w:history="1">
        <w:r>
          <w:rPr>
            <w:rStyle w:val="Hyperlink"/>
          </w:rPr>
          <w:t>portphillip.vic.gov.au</w:t>
        </w:r>
      </w:hyperlink>
    </w:p>
    <w:p w14:paraId="4BCB2619" w14:textId="77777777" w:rsidR="001D5949" w:rsidRDefault="001D5949" w:rsidP="001D5949">
      <w:pPr>
        <w:pStyle w:val="Heading5"/>
      </w:pPr>
    </w:p>
    <w:p w14:paraId="4B81796E" w14:textId="77777777" w:rsidR="001D5949" w:rsidRDefault="001D5949" w:rsidP="001D5949">
      <w:pPr>
        <w:pStyle w:val="Heading5"/>
      </w:pPr>
      <w:r>
        <w:t>Divercity</w:t>
      </w:r>
    </w:p>
    <w:p w14:paraId="411C3D77" w14:textId="77777777" w:rsidR="001D5949" w:rsidRDefault="001D5949" w:rsidP="001D5949">
      <w:pPr>
        <w:spacing w:after="120"/>
      </w:pPr>
      <w:r>
        <w:t xml:space="preserve">Receive the latest news from your City and Council </w:t>
      </w:r>
      <w:hyperlink r:id="rId17" w:tooltip="portphillip.vic.gov.au/divercity" w:history="1">
        <w:r>
          <w:rPr>
            <w:rStyle w:val="Hyperlink"/>
          </w:rPr>
          <w:t>portphillip.vic.gov.au/divercity</w:t>
        </w:r>
      </w:hyperlink>
    </w:p>
    <w:p w14:paraId="736EC329" w14:textId="77777777" w:rsidR="001D5949" w:rsidRDefault="001D5949" w:rsidP="001D5949"/>
    <w:p w14:paraId="7B42004A" w14:textId="77777777" w:rsidR="001D5949" w:rsidRDefault="001D5949" w:rsidP="001D5949">
      <w:r>
        <w:rPr>
          <w:noProof/>
        </w:rPr>
        <w:drawing>
          <wp:inline distT="0" distB="0" distL="0" distR="0" wp14:anchorId="1CF37A15" wp14:editId="1E920B42">
            <wp:extent cx="856490" cy="704089"/>
            <wp:effectExtent l="0" t="0" r="1270" b="1270"/>
            <wp:docPr id="36" name="Picture 36" descr="National Relay Servi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National Relay Service log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56490" cy="704089"/>
                    </a:xfrm>
                    <a:prstGeom prst="rect">
                      <a:avLst/>
                    </a:prstGeom>
                  </pic:spPr>
                </pic:pic>
              </a:graphicData>
            </a:graphic>
          </wp:inline>
        </w:drawing>
      </w:r>
    </w:p>
    <w:p w14:paraId="2E121597" w14:textId="77777777" w:rsidR="001D5949" w:rsidRDefault="001D5949" w:rsidP="001D5949">
      <w:pPr>
        <w:pStyle w:val="Heading5"/>
      </w:pPr>
      <w:r>
        <w:t>National Relay Service</w:t>
      </w:r>
    </w:p>
    <w:p w14:paraId="06D2FB54" w14:textId="77777777" w:rsidR="001D5949" w:rsidRDefault="001D5949" w:rsidP="001D5949">
      <w:r>
        <w:t>If you are deaf, hard of hearing or have trouble speaking, you can phone us through the National Relay Service (NRS):</w:t>
      </w:r>
    </w:p>
    <w:p w14:paraId="67008534" w14:textId="77777777" w:rsidR="001D5949" w:rsidRPr="00BD0F6D" w:rsidRDefault="001D5949" w:rsidP="001D5949">
      <w:r>
        <w:t>TTY users, dial 133677, ask for 03 9209 6777</w:t>
      </w:r>
    </w:p>
    <w:p w14:paraId="1A0304DE" w14:textId="77777777" w:rsidR="001D5949" w:rsidRDefault="001D5949" w:rsidP="001D5949">
      <w:pPr>
        <w:rPr>
          <w:spacing w:val="-2"/>
        </w:rPr>
      </w:pPr>
      <w:r>
        <w:rPr>
          <w:spacing w:val="-2"/>
        </w:rPr>
        <w:t xml:space="preserve">Voice Relay users, phone 1300 555 727, </w:t>
      </w:r>
    </w:p>
    <w:p w14:paraId="00DE7E7C" w14:textId="77777777" w:rsidR="001D5949" w:rsidRDefault="001D5949" w:rsidP="001D5949">
      <w:pPr>
        <w:rPr>
          <w:spacing w:val="-2"/>
        </w:rPr>
      </w:pPr>
      <w:r>
        <w:rPr>
          <w:spacing w:val="-2"/>
        </w:rPr>
        <w:t>then ask for 03 9209 6777.</w:t>
      </w:r>
    </w:p>
    <w:p w14:paraId="72A7199C" w14:textId="77777777" w:rsidR="001D5949" w:rsidRPr="00EA5334" w:rsidRDefault="001D5949" w:rsidP="001D5949">
      <w:pPr>
        <w:rPr>
          <w:rStyle w:val="Hyperlink"/>
        </w:rPr>
      </w:pPr>
      <w:r>
        <w:fldChar w:fldCharType="begin"/>
        <w:instrText xml:space="preserve"> HYPERLINK "https://www.infrastructure.gov.au/media-communications-arts/phone/services-people-disability/accesshub" \o "relayservice.gov.au" </w:instrText>
        <w:fldChar w:fldCharType="separate"/>
      </w:r>
      <w:r>
        <w:rPr>
          <w:rStyle w:val="Hyperlink"/>
        </w:rPr>
        <w:t xml:space="preserve">accesshub.gov.au </w:t>
      </w:r>
    </w:p>
    <w:p w14:paraId="0F8E6937" w14:textId="77777777" w:rsidR="001D5949" w:rsidRPr="00BD0F6D" w:rsidRDefault="001D5949" w:rsidP="001D5949">
      <w:r>
        <w:fldChar w:fldCharType="end"/>
        <w:tab/>
      </w:r>
    </w:p>
    <w:p w14:paraId="65672571" w14:textId="77777777" w:rsidR="001D5949" w:rsidRDefault="001D5949" w:rsidP="001D5949">
      <w:pPr>
        <w:rPr>
          <w:rFonts w:eastAsiaTheme="majorEastAsia" w:cstheme="majorBidi"/>
          <w:spacing w:val="-10"/>
          <w:kern w:val="28"/>
          <w:sz w:val="32"/>
          <w:szCs w:val="32"/>
        </w:rPr>
      </w:pPr>
      <w:r>
        <w:rPr>
          <w:noProof/>
        </w:rPr>
        <w:drawing>
          <wp:inline distT="0" distB="0" distL="0" distR="0" wp14:anchorId="50E5C733" wp14:editId="1A17BF07">
            <wp:extent cx="1796400" cy="622800"/>
            <wp:effectExtent l="0" t="0" r="0" b="6350"/>
            <wp:docPr id="1" name="Picture 1" descr="Please consider the environment before pri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n't Print_Graphic_0820.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96400" cy="622800"/>
                    </a:xfrm>
                    <a:prstGeom prst="rect">
                      <a:avLst/>
                    </a:prstGeom>
                  </pic:spPr>
                </pic:pic>
              </a:graphicData>
            </a:graphic>
          </wp:inline>
        </w:drawing>
      </w:r>
      <w:r>
        <w:rPr>
          <w:rFonts w:eastAsiaTheme="majorEastAsia" w:cstheme="majorBidi"/>
          <w:spacing w:val="-10"/>
          <w:kern w:val="28"/>
          <w:sz w:val="32"/>
          <w:szCs w:val="32"/>
        </w:rPr>
        <w:br w:type="page"/>
      </w:r>
    </w:p>
    <w:p w14:paraId="41143E50" w14:textId="77777777" w:rsidR="001D5949" w:rsidRPr="001D5949" w:rsidRDefault="001D5949" w:rsidP="001D5949">
      <w:pPr>
        <w:spacing w:after="240"/>
        <w:rPr>
          <w:color w:val="38322F"/>
          <w:sz w:val="44"/>
          <w:szCs w:val="44"/>
        </w:rPr>
      </w:pPr>
      <w:r>
        <w:rPr>
          <w:rFonts w:cs="Arial"/>
          <w:b/>
          <w:bCs/>
          <w:color w:val="38322F"/>
          <w:sz w:val="32"/>
          <w:szCs w:val="32"/>
        </w:rPr>
        <w:lastRenderedPageBreak/>
        <w:t>Document Governance</w:t>
      </w:r>
    </w:p>
    <w:tbl>
      <w:tblPr>
        <w:tblStyle w:val="TableGrid"/>
        <w:tblW w:w="977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6770"/>
      </w:tblGrid>
      <w:tr w:rsidR="00DA6A61" w14:paraId="703BA4F7" w14:textId="77777777" w:rsidTr="00457D5D">
        <w:tc>
          <w:tcPr>
            <w:tcW w:w="3000" w:type="dxa"/>
            <w:shd w:val="clear" w:color="auto" w:fill="38322F"/>
          </w:tcPr>
          <w:p w14:paraId="607DAEA6" w14:textId="77777777" w:rsidR="00DA6A61" w:rsidRPr="00CF053B" w:rsidRDefault="00DA6A61" w:rsidP="00457D5D">
            <w:pPr>
              <w:spacing w:before="40" w:after="40"/>
              <w:rPr>
                <w:color w:val="FFFFFF" w:themeColor="background1"/>
                <w:sz w:val="20"/>
                <w:szCs w:val="20"/>
              </w:rPr>
            </w:pPr>
            <w:r>
              <w:rPr>
                <w:rFonts w:cs="Arial"/>
                <w:b/>
                <w:bCs/>
                <w:color w:val="FFFFFF" w:themeColor="background1"/>
                <w:sz w:val="20"/>
                <w:szCs w:val="20"/>
              </w:rPr>
              <w:t>Responsible division</w:t>
            </w:r>
          </w:p>
        </w:tc>
        <w:tc>
          <w:tcPr>
            <w:tcW w:w="6770" w:type="dxa"/>
          </w:tcPr>
          <w:p w14:paraId="50A1F4DD" w14:textId="77777777" w:rsidR="00DA6A61" w:rsidRPr="00CF053B" w:rsidRDefault="00DA6A61" w:rsidP="00457D5D">
            <w:pPr>
              <w:spacing w:before="40" w:after="40"/>
              <w:rPr>
                <w:sz w:val="20"/>
                <w:szCs w:val="20"/>
              </w:rPr>
            </w:pPr>
            <w:r>
              <w:rPr>
                <w:rFonts w:cs="Arial"/>
                <w:i/>
                <w:iCs/>
                <w:color w:val="808080"/>
                <w:sz w:val="20"/>
                <w:szCs w:val="20"/>
              </w:rPr>
              <w:t>&lt;Enter your division&gt;</w:t>
            </w:r>
          </w:p>
        </w:tc>
      </w:tr>
      <w:tr w:rsidR="00DA6A61" w14:paraId="4CDD4027" w14:textId="77777777" w:rsidTr="00457D5D">
        <w:tc>
          <w:tcPr>
            <w:tcW w:w="3000" w:type="dxa"/>
            <w:shd w:val="clear" w:color="auto" w:fill="38322F"/>
          </w:tcPr>
          <w:p w14:paraId="3B347A09" w14:textId="77777777" w:rsidR="00DA6A61" w:rsidRPr="00CF053B" w:rsidRDefault="00DA6A61" w:rsidP="00457D5D">
            <w:pPr>
              <w:spacing w:before="40" w:after="40"/>
              <w:rPr>
                <w:color w:val="FFFFFF" w:themeColor="background1"/>
                <w:sz w:val="20"/>
                <w:szCs w:val="20"/>
              </w:rPr>
            </w:pPr>
            <w:r>
              <w:rPr>
                <w:rFonts w:cs="Arial"/>
                <w:b/>
                <w:bCs/>
                <w:color w:val="FFFFFF" w:themeColor="background1"/>
                <w:sz w:val="20"/>
                <w:szCs w:val="20"/>
              </w:rPr>
              <w:t>Responsible department</w:t>
            </w:r>
          </w:p>
        </w:tc>
        <w:tc>
          <w:tcPr>
            <w:tcW w:w="6770" w:type="dxa"/>
          </w:tcPr>
          <w:p w14:paraId="673A9118" w14:textId="77777777" w:rsidR="00DA6A61" w:rsidRPr="00CF053B" w:rsidRDefault="00DA6A61" w:rsidP="00457D5D">
            <w:pPr>
              <w:spacing w:before="40" w:after="40"/>
              <w:rPr>
                <w:sz w:val="20"/>
                <w:szCs w:val="20"/>
              </w:rPr>
            </w:pPr>
            <w:r>
              <w:rPr>
                <w:rFonts w:cs="Arial"/>
                <w:i/>
                <w:iCs/>
                <w:color w:val="808080"/>
                <w:sz w:val="20"/>
                <w:szCs w:val="20"/>
              </w:rPr>
              <w:t>&lt;Enter your department&gt;</w:t>
            </w:r>
          </w:p>
        </w:tc>
      </w:tr>
      <w:tr w:rsidR="00DA6A61" w14:paraId="68AFD998" w14:textId="77777777" w:rsidTr="00457D5D">
        <w:tc>
          <w:tcPr>
            <w:tcW w:w="3000" w:type="dxa"/>
            <w:shd w:val="clear" w:color="auto" w:fill="38322F"/>
          </w:tcPr>
          <w:p w14:paraId="5EF2EA5D" w14:textId="77777777" w:rsidR="00DA6A61" w:rsidRPr="00CF053B" w:rsidRDefault="00DA6A61" w:rsidP="00457D5D">
            <w:pPr>
              <w:spacing w:before="40" w:after="40"/>
              <w:rPr>
                <w:color w:val="FFFFFF" w:themeColor="background1"/>
                <w:sz w:val="20"/>
                <w:szCs w:val="20"/>
              </w:rPr>
            </w:pPr>
            <w:r>
              <w:rPr>
                <w:rFonts w:cs="Arial"/>
                <w:b/>
                <w:bCs/>
                <w:color w:val="FFFFFF" w:themeColor="background1"/>
                <w:sz w:val="20"/>
                <w:szCs w:val="20"/>
              </w:rPr>
              <w:t>Policy owner</w:t>
            </w:r>
          </w:p>
        </w:tc>
        <w:tc>
          <w:tcPr>
            <w:tcW w:w="6770" w:type="dxa"/>
          </w:tcPr>
          <w:p w14:paraId="2815D597" w14:textId="77777777" w:rsidR="00DA6A61" w:rsidRPr="00CF053B" w:rsidRDefault="00DA6A61" w:rsidP="00457D5D">
            <w:pPr>
              <w:spacing w:before="40" w:after="40"/>
              <w:rPr>
                <w:sz w:val="20"/>
                <w:szCs w:val="20"/>
              </w:rPr>
            </w:pPr>
            <w:r>
              <w:rPr>
                <w:rFonts w:cs="Arial"/>
                <w:i/>
                <w:iCs/>
                <w:color w:val="808080"/>
                <w:sz w:val="20"/>
                <w:szCs w:val="20"/>
              </w:rPr>
              <w:t xml:space="preserve">&lt;Name, Position title (person who is responsible for the currency of this instrument)&gt;</w:t>
            </w:r>
          </w:p>
        </w:tc>
      </w:tr>
      <w:tr w:rsidR="00DA6A61" w14:paraId="549CD066" w14:textId="77777777" w:rsidTr="00457D5D">
        <w:tc>
          <w:tcPr>
            <w:tcW w:w="3000" w:type="dxa"/>
            <w:shd w:val="clear" w:color="auto" w:fill="38322F"/>
          </w:tcPr>
          <w:p w14:paraId="3D3B90F5" w14:textId="77777777" w:rsidR="00DA6A61" w:rsidRPr="00CF053B" w:rsidRDefault="00DA6A61" w:rsidP="00457D5D">
            <w:pPr>
              <w:spacing w:before="40" w:after="40"/>
              <w:rPr>
                <w:color w:val="FFFFFF" w:themeColor="background1"/>
                <w:sz w:val="20"/>
                <w:szCs w:val="20"/>
              </w:rPr>
            </w:pPr>
            <w:r>
              <w:rPr>
                <w:rFonts w:cs="Arial"/>
                <w:b/>
                <w:bCs/>
                <w:color w:val="FFFFFF" w:themeColor="background1"/>
                <w:sz w:val="20"/>
                <w:szCs w:val="20"/>
              </w:rPr>
              <w:t xml:space="preserve">Final full refresh approver</w:t>
            </w:r>
          </w:p>
        </w:tc>
        <w:tc>
          <w:tcPr>
            <w:tcW w:w="6770" w:type="dxa"/>
          </w:tcPr>
          <w:p w14:paraId="3134E0B2" w14:textId="77777777" w:rsidR="00DA6A61" w:rsidRPr="00CF053B" w:rsidRDefault="00DA6A61" w:rsidP="00457D5D">
            <w:pPr>
              <w:spacing w:before="40" w:after="40"/>
              <w:rPr>
                <w:sz w:val="20"/>
                <w:szCs w:val="20"/>
              </w:rPr>
            </w:pPr>
            <w:r>
              <w:rPr>
                <w:rFonts w:cs="Arial"/>
                <w:i/>
                <w:iCs/>
                <w:color w:val="808080"/>
                <w:sz w:val="20"/>
                <w:szCs w:val="20"/>
              </w:rPr>
              <w:t>&lt;e.g. Council / ELT / General Manager&gt;</w:t>
            </w:r>
          </w:p>
        </w:tc>
      </w:tr>
      <w:tr w:rsidR="00DA6A61" w14:paraId="5A723729" w14:textId="77777777" w:rsidTr="00457D5D">
        <w:tc>
          <w:tcPr>
            <w:tcW w:w="3000" w:type="dxa"/>
            <w:shd w:val="clear" w:color="auto" w:fill="38322F"/>
          </w:tcPr>
          <w:p w14:paraId="1EF3BAB0" w14:textId="77777777" w:rsidR="00DA6A61" w:rsidRPr="00CF053B" w:rsidRDefault="00DA6A61" w:rsidP="00457D5D">
            <w:pPr>
              <w:spacing w:before="40" w:after="40"/>
              <w:rPr>
                <w:color w:val="FFFFFF" w:themeColor="background1"/>
                <w:sz w:val="20"/>
                <w:szCs w:val="20"/>
              </w:rPr>
            </w:pPr>
            <w:r>
              <w:rPr>
                <w:rFonts w:cs="Arial"/>
                <w:b/>
                <w:bCs/>
                <w:color w:val="FFFFFF" w:themeColor="background1"/>
                <w:sz w:val="20"/>
                <w:szCs w:val="20"/>
              </w:rPr>
              <w:t xml:space="preserve">Date last full refresh approval</w:t>
            </w:r>
          </w:p>
        </w:tc>
        <w:tc>
          <w:tcPr>
            <w:tcW w:w="6770" w:type="dxa"/>
          </w:tcPr>
          <w:sdt>
            <w:sdtPr>
              <w:rPr>
                <w:sz w:val="20"/>
                <w:szCs w:val="20"/>
              </w:rPr>
              <w:alias w:val="DateApproved"/>
              <w:tag w:val="DateApproved"/>
              <w:id w:val="2034919641"/>
              <w:date>
                <w:dateFormat w:val="dd/MM/yyyy"/>
                <w:lid w:val="en-AU"/>
                <w:storeMappedDataAs w:val="dateTime"/>
                <w:calendar w:val="gregorian"/>
              </w:date>
            </w:sdtPr>
            <w:sdtEndPr/>
            <w:sdtContent>
              <w:p w14:paraId="074DBF6B" w14:textId="77777777" w:rsidR="00DA6A61" w:rsidRPr="00CF053B" w:rsidRDefault="00DA6A61" w:rsidP="00457D5D">
                <w:pPr>
                  <w:spacing w:before="40" w:after="40"/>
                  <w:rPr>
                    <w:sz w:val="20"/>
                    <w:szCs w:val="20"/>
                  </w:rPr>
                </w:pPr>
                <w:r>
                  <w:rPr>
                    <w:rFonts w:cs="Arial"/>
                    <w:i/>
                    <w:iCs/>
                    <w:color w:val="808080"/>
                    <w:sz w:val="20"/>
                    <w:szCs w:val="20"/>
                  </w:rPr>
                  <w:t>Select date</w:t>
                </w:r>
              </w:p>
            </w:sdtContent>
          </w:sdt>
          <w:p w14:paraId="4CB5184E" w14:textId="77777777" w:rsidR="00DA6A61" w:rsidRPr="00CF053B" w:rsidRDefault="00DA6A61" w:rsidP="00457D5D">
            <w:pPr>
              <w:spacing w:before="40" w:after="40"/>
              <w:rPr>
                <w:sz w:val="20"/>
                <w:szCs w:val="20"/>
              </w:rPr>
            </w:pPr>
            <w:r>
              <w:rPr>
                <w:rFonts w:cs="Arial"/>
                <w:i/>
                <w:iCs/>
                <w:color w:val="C00000"/>
                <w:sz w:val="18"/>
                <w:szCs w:val="18"/>
              </w:rPr>
              <w:t>▶ To be completed after full refresh approval. Do not change for desktop reviews.</w:t>
            </w:r>
          </w:p>
        </w:tc>
      </w:tr>
      <w:tr w:rsidR="00DA6A61" w14:paraId="3600C532" w14:textId="77777777" w:rsidTr="00457D5D">
        <w:tc>
          <w:tcPr>
            <w:tcW w:w="3000" w:type="dxa"/>
            <w:shd w:val="clear" w:color="auto" w:fill="38322F"/>
          </w:tcPr>
          <w:p w14:paraId="6ABAFD07" w14:textId="77777777" w:rsidR="00DA6A61" w:rsidRPr="00CF053B" w:rsidRDefault="00DA6A61" w:rsidP="00457D5D">
            <w:pPr>
              <w:spacing w:before="40" w:after="40"/>
              <w:rPr>
                <w:rFonts w:cs="Arial"/>
                <w:b/>
                <w:bCs/>
                <w:color w:val="FFFFFF" w:themeColor="background1"/>
                <w:sz w:val="20"/>
                <w:szCs w:val="20"/>
              </w:rPr>
            </w:pPr>
            <w:r>
              <w:rPr>
                <w:rFonts w:cs="Arial"/>
                <w:b/>
                <w:bCs/>
                <w:color w:val="FFFFFF" w:themeColor="background1"/>
                <w:sz w:val="20"/>
                <w:szCs w:val="20"/>
              </w:rPr>
              <w:t xml:space="preserve">Next full refresh date</w:t>
            </w:r>
          </w:p>
        </w:tc>
        <w:tc>
          <w:tcPr>
            <w:tcW w:w="6770" w:type="dxa"/>
          </w:tcPr>
          <w:p w14:paraId="2289ED48" w14:textId="77777777" w:rsidR="00DA6A61" w:rsidRPr="00CF053B" w:rsidRDefault="00296731" w:rsidP="00457D5D">
            <w:pPr>
              <w:spacing w:before="40" w:after="40"/>
              <w:rPr>
                <w:sz w:val="20"/>
                <w:szCs w:val="20"/>
              </w:rPr>
            </w:pPr>
            <w:sdt>
              <w:sdtPr>
                <w:rPr>
                  <w:sz w:val="20"/>
                  <w:szCs w:val="20"/>
                </w:rPr>
                <w:alias w:val="PlannedReviewDate"/>
                <w:tag w:val="PlannedReviewDate"/>
                <w:id w:val="-1450931250"/>
                <w:date>
                  <w:dateFormat w:val="dd/MM/yyyy"/>
                  <w:lid w:val="en-AU"/>
                  <w:storeMappedDataAs w:val="dateTime"/>
                  <w:calendar w:val="gregorian"/>
                </w:date>
              </w:sdtPr>
              <w:sdtEndPr/>
              <w:sdtContent>
                <w:r>
                  <w:rPr>
                    <w:rFonts w:cs="Arial"/>
                    <w:i/>
                    <w:iCs/>
                    <w:color w:val="808080"/>
                    <w:sz w:val="20"/>
                    <w:szCs w:val="20"/>
                  </w:rPr>
                  <w:t>Select date</w:t>
                </w:r>
              </w:sdtContent>
            </w:sdt>
          </w:p>
          <w:p w14:paraId="2060A0AD" w14:textId="77777777" w:rsidR="00DA6A61" w:rsidRPr="00CF053B" w:rsidRDefault="00DA6A61" w:rsidP="00457D5D">
            <w:pPr>
              <w:spacing w:before="40" w:after="40"/>
              <w:rPr>
                <w:sz w:val="20"/>
                <w:szCs w:val="20"/>
              </w:rPr>
            </w:pPr>
            <w:r>
              <w:rPr>
                <w:rFonts w:cs="Arial"/>
                <w:i/>
                <w:iCs/>
                <w:color w:val="808080"/>
                <w:sz w:val="20"/>
                <w:szCs w:val="20"/>
              </w:rPr>
              <w:t xml:space="preserve">&lt;Default for a full refresh is four years from the date of approval. Strategies and Plans may be longer. Desktop reviews occur annually for all instruments and are not counted as a full refresh.&gt;</w:t>
            </w:r>
          </w:p>
        </w:tc>
      </w:tr>
      <w:tr w:rsidR="00DA6A61" w14:paraId="393B3267" w14:textId="77777777" w:rsidTr="00457D5D">
        <w:tc>
          <w:tcPr>
            <w:tcW w:w="3000" w:type="dxa"/>
            <w:shd w:val="clear" w:color="auto" w:fill="38322F"/>
          </w:tcPr>
          <w:p w14:paraId="5699D96B" w14:textId="77777777" w:rsidR="00DA6A61" w:rsidRPr="00CF053B" w:rsidRDefault="00DA6A61" w:rsidP="00457D5D">
            <w:pPr>
              <w:spacing w:before="40" w:after="40"/>
              <w:rPr>
                <w:color w:val="FFFFFF" w:themeColor="background1"/>
                <w:sz w:val="20"/>
                <w:szCs w:val="20"/>
              </w:rPr>
            </w:pPr>
            <w:r>
              <w:rPr>
                <w:rFonts w:cs="Arial"/>
                <w:b/>
                <w:bCs/>
                <w:color w:val="FFFFFF" w:themeColor="background1"/>
                <w:sz w:val="20"/>
                <w:szCs w:val="20"/>
              </w:rPr>
              <w:t>Supersedes</w:t>
            </w:r>
          </w:p>
        </w:tc>
        <w:tc>
          <w:tcPr>
            <w:tcW w:w="6770" w:type="dxa"/>
          </w:tcPr>
          <w:p w14:paraId="6736B7EF" w14:textId="77777777" w:rsidR="00DA6A61" w:rsidRPr="00CF053B" w:rsidRDefault="00DA6A61" w:rsidP="00457D5D">
            <w:pPr>
              <w:spacing w:before="40" w:after="40"/>
              <w:rPr>
                <w:rFonts w:cs="Arial"/>
                <w:i/>
                <w:iCs/>
                <w:color w:val="808080"/>
                <w:sz w:val="20"/>
                <w:szCs w:val="20"/>
              </w:rPr>
            </w:pPr>
            <w:r>
              <w:rPr>
                <w:rFonts w:cs="Arial"/>
                <w:i/>
                <w:iCs/>
                <w:color w:val="808080"/>
                <w:sz w:val="20"/>
                <w:szCs w:val="20"/>
              </w:rPr>
              <w:t>&lt;Enter previous instrument title or enter N/A&gt;</w:t>
            </w:r>
          </w:p>
        </w:tc>
      </w:tr>
    </w:tbl>
    <w:p w14:paraId="2F096672" w14:textId="77777777" w:rsidR="00DA6A61" w:rsidRDefault="00DA6A61" w:rsidP="00DA6A61">
      <w:pPr>
        <w:rPr>
          <w:rFonts w:cs="Arial"/>
          <w:b/>
          <w:bCs/>
          <w:color w:val="003B5C"/>
          <w:sz w:val="28"/>
          <w:szCs w:val="28"/>
        </w:rPr>
      </w:pPr>
    </w:p>
    <w:p w14:paraId="65E98934" w14:textId="77777777" w:rsidR="001D5949" w:rsidRPr="001D5949" w:rsidRDefault="001D5949" w:rsidP="001D5949">
      <w:pPr>
        <w:rPr>
          <w:color w:val="38322F"/>
          <w:sz w:val="24"/>
          <w:szCs w:val="24"/>
        </w:rPr>
      </w:pPr>
      <w:r>
        <w:rPr>
          <w:rFonts w:cs="Arial"/>
          <w:b/>
          <w:bCs/>
          <w:color w:val="38322F"/>
          <w:sz w:val="32"/>
          <w:szCs w:val="32"/>
        </w:rPr>
        <w:t>Document History</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1701"/>
        <w:gridCol w:w="1418"/>
        <w:gridCol w:w="2553"/>
        <w:gridCol w:w="2408"/>
      </w:tblGrid>
      <w:tr w:rsidR="00AC5B6E" w14:paraId="5CB7D9D0" w14:textId="77777777" w:rsidTr="00DA6A61">
        <w:tc>
          <w:tcPr>
            <w:tcW w:w="1696" w:type="dxa"/>
            <w:tcBorders>
              <w:top w:val="single" w:sz="4" w:space="0" w:color="196BAC"/>
              <w:left w:val="single" w:sz="4" w:space="0" w:color="196BAC"/>
              <w:bottom w:val="single" w:sz="4" w:space="0" w:color="196BAC"/>
              <w:right w:val="single" w:sz="4" w:space="0" w:color="196BAC"/>
            </w:tcBorders>
            <w:shd w:val="clear" w:color="auto" w:fill="38322F"/>
            <w:tcMar>
              <w:top w:w="80" w:type="dxa"/>
              <w:left w:w="120" w:type="dxa"/>
              <w:bottom w:w="80" w:type="dxa"/>
              <w:right w:w="120" w:type="dxa"/>
            </w:tcMar>
          </w:tcPr>
          <w:p w14:paraId="38B490A4" w14:textId="77777777" w:rsidR="00AC5B6E" w:rsidRDefault="00AC5B6E" w:rsidP="00457D5D">
            <w:r>
              <w:rPr>
                <w:rFonts w:eastAsia="Arial" w:cs="Arial"/>
                <w:b/>
                <w:bCs/>
                <w:color w:val="FFFFFF"/>
                <w:sz w:val="20"/>
                <w:szCs w:val="20"/>
              </w:rPr>
              <w:t>Version</w:t>
            </w:r>
          </w:p>
        </w:tc>
        <w:tc>
          <w:tcPr>
            <w:tcW w:w="1701" w:type="dxa"/>
            <w:tcBorders>
              <w:top w:val="single" w:sz="4" w:space="0" w:color="196BAC"/>
              <w:left w:val="single" w:sz="4" w:space="0" w:color="196BAC"/>
              <w:bottom w:val="single" w:sz="4" w:space="0" w:color="196BAC"/>
              <w:right w:val="single" w:sz="4" w:space="0" w:color="196BAC"/>
            </w:tcBorders>
            <w:shd w:val="clear" w:color="auto" w:fill="38322F"/>
            <w:tcMar>
              <w:top w:w="80" w:type="dxa"/>
              <w:left w:w="120" w:type="dxa"/>
              <w:bottom w:w="80" w:type="dxa"/>
              <w:right w:w="120" w:type="dxa"/>
            </w:tcMar>
          </w:tcPr>
          <w:p w14:paraId="021DBC4C" w14:textId="77777777" w:rsidR="00AC5B6E" w:rsidRDefault="00AC5B6E" w:rsidP="00457D5D">
            <w:r>
              <w:rPr>
                <w:rFonts w:eastAsia="Arial" w:cs="Arial"/>
                <w:b/>
                <w:bCs/>
                <w:color w:val="FFFFFF"/>
                <w:sz w:val="20"/>
                <w:szCs w:val="20"/>
              </w:rPr>
              <w:t>Date Approved</w:t>
            </w:r>
          </w:p>
        </w:tc>
        <w:tc>
          <w:tcPr>
            <w:tcW w:w="1418" w:type="dxa"/>
            <w:tcBorders>
              <w:top w:val="single" w:sz="4" w:space="0" w:color="196BAC"/>
              <w:left w:val="single" w:sz="4" w:space="0" w:color="196BAC"/>
              <w:bottom w:val="single" w:sz="4" w:space="0" w:color="196BAC"/>
              <w:right w:val="single" w:sz="4" w:space="0" w:color="196BAC"/>
            </w:tcBorders>
            <w:shd w:val="clear" w:color="auto" w:fill="38322F"/>
            <w:tcMar>
              <w:top w:w="80" w:type="dxa"/>
              <w:left w:w="120" w:type="dxa"/>
              <w:bottom w:w="80" w:type="dxa"/>
              <w:right w:w="120" w:type="dxa"/>
            </w:tcMar>
          </w:tcPr>
          <w:p w14:paraId="49CD657C" w14:textId="77777777" w:rsidR="00AC5B6E" w:rsidRDefault="00AC5B6E" w:rsidP="00457D5D">
            <w:r>
              <w:rPr>
                <w:rFonts w:eastAsia="Arial" w:cs="Arial"/>
                <w:b/>
                <w:bCs/>
                <w:color w:val="FFFFFF"/>
                <w:sz w:val="20"/>
                <w:szCs w:val="20"/>
              </w:rPr>
              <w:t>Review type</w:t>
            </w:r>
          </w:p>
        </w:tc>
        <w:tc>
          <w:tcPr>
            <w:tcW w:w="2553" w:type="dxa"/>
            <w:tcBorders>
              <w:top w:val="single" w:sz="4" w:space="0" w:color="196BAC"/>
              <w:left w:val="single" w:sz="4" w:space="0" w:color="196BAC"/>
              <w:bottom w:val="single" w:sz="4" w:space="0" w:color="196BAC"/>
              <w:right w:val="single" w:sz="4" w:space="0" w:color="196BAC"/>
            </w:tcBorders>
            <w:shd w:val="clear" w:color="auto" w:fill="38322F"/>
            <w:tcMar>
              <w:top w:w="80" w:type="dxa"/>
              <w:left w:w="120" w:type="dxa"/>
              <w:bottom w:w="80" w:type="dxa"/>
              <w:right w:w="120" w:type="dxa"/>
            </w:tcMar>
          </w:tcPr>
          <w:p w14:paraId="67BB1087" w14:textId="77777777" w:rsidR="00AC5B6E" w:rsidRDefault="00AC5B6E" w:rsidP="00457D5D">
            <w:r>
              <w:rPr>
                <w:rFonts w:eastAsia="Arial" w:cs="Arial"/>
                <w:b/>
                <w:bCs/>
                <w:color w:val="FFFFFF"/>
                <w:sz w:val="20"/>
                <w:szCs w:val="20"/>
              </w:rPr>
              <w:t>Changes made</w:t>
            </w:r>
          </w:p>
        </w:tc>
        <w:tc>
          <w:tcPr>
            <w:tcW w:w="2408" w:type="dxa"/>
            <w:tcBorders>
              <w:top w:val="single" w:sz="4" w:space="0" w:color="196BAC"/>
              <w:left w:val="single" w:sz="4" w:space="0" w:color="196BAC"/>
              <w:bottom w:val="single" w:sz="4" w:space="0" w:color="196BAC"/>
              <w:right w:val="single" w:sz="4" w:space="0" w:color="196BAC"/>
            </w:tcBorders>
            <w:shd w:val="clear" w:color="auto" w:fill="38322F"/>
            <w:tcMar>
              <w:top w:w="80" w:type="dxa"/>
              <w:left w:w="120" w:type="dxa"/>
              <w:bottom w:w="80" w:type="dxa"/>
              <w:right w:w="120" w:type="dxa"/>
            </w:tcMar>
          </w:tcPr>
          <w:p w14:paraId="0E75EAA8" w14:textId="77777777" w:rsidR="00AC5B6E" w:rsidRDefault="00AC5B6E" w:rsidP="00457D5D">
            <w:r>
              <w:rPr>
                <w:rFonts w:eastAsia="Arial" w:cs="Arial"/>
                <w:b/>
                <w:bCs/>
                <w:color w:val="FFFFFF"/>
                <w:sz w:val="20"/>
                <w:szCs w:val="20"/>
              </w:rPr>
              <w:t>Approved by</w:t>
            </w:r>
          </w:p>
        </w:tc>
      </w:tr>
      <w:tr w:rsidR="00AC5B6E" w14:paraId="43D184FD" w14:textId="77777777" w:rsidTr="00457D5D">
        <w:tc>
          <w:tcPr>
            <w:tcW w:w="1696" w:type="dxa"/>
            <w:tcBorders>
              <w:top w:val="single" w:sz="4" w:space="0" w:color="D0D0D0"/>
              <w:left w:val="single" w:sz="4" w:space="0" w:color="D0D0D0"/>
              <w:bottom w:val="single" w:sz="4" w:space="0" w:color="D0D0D0"/>
              <w:right w:val="single" w:sz="4" w:space="0" w:color="D0D0D0"/>
            </w:tcBorders>
            <w:tcMar>
              <w:top w:w="60" w:type="dxa"/>
              <w:left w:w="120" w:type="dxa"/>
              <w:bottom w:w="60" w:type="dxa"/>
              <w:right w:w="120" w:type="dxa"/>
            </w:tcMar>
          </w:tcPr>
          <w:p w14:paraId="142BF5E7" w14:textId="77777777" w:rsidR="00AC5B6E" w:rsidRDefault="00AC5B6E" w:rsidP="00457D5D">
            <w:pPr>
              <w:rPr>
                <w:rFonts w:eastAsia="Arial" w:cs="Arial"/>
                <w:i/>
                <w:iCs/>
                <w:color w:val="808080"/>
                <w:sz w:val="20"/>
                <w:szCs w:val="20"/>
              </w:rPr>
            </w:pPr>
            <w:r>
              <w:rPr>
                <w:rFonts w:eastAsia="Arial" w:cs="Arial"/>
                <w:i/>
                <w:iCs/>
                <w:color w:val="808080"/>
                <w:sz w:val="20"/>
                <w:szCs w:val="20"/>
              </w:rPr>
              <w:t>&lt;1.0&gt;</w:t>
            </w:r>
          </w:p>
          <w:p w14:paraId="758563A0" w14:textId="77777777" w:rsidR="00AC5B6E" w:rsidRDefault="00AC5B6E" w:rsidP="00457D5D">
            <w:r>
              <w:rPr>
                <w:rFonts w:eastAsia="Arial" w:cs="Arial"/>
                <w:i/>
                <w:iCs/>
                <w:color w:val="808080"/>
                <w:sz w:val="20"/>
                <w:szCs w:val="20"/>
              </w:rPr>
              <w:t>&lt;e.g. 1.0 — full review increments the whole number (1.0 → 2.0); desktop review increments the decimal (1.0 → 1.1)&gt;</w:t>
            </w:r>
          </w:p>
        </w:tc>
        <w:tc>
          <w:tcPr>
            <w:tcW w:w="1701" w:type="dxa"/>
            <w:tcBorders>
              <w:top w:val="single" w:sz="4" w:space="0" w:color="D0D0D0"/>
              <w:left w:val="single" w:sz="4" w:space="0" w:color="D0D0D0"/>
              <w:bottom w:val="single" w:sz="4" w:space="0" w:color="D0D0D0"/>
              <w:right w:val="single" w:sz="4" w:space="0" w:color="D0D0D0"/>
            </w:tcBorders>
            <w:tcMar>
              <w:top w:w="60" w:type="dxa"/>
              <w:left w:w="120" w:type="dxa"/>
              <w:bottom w:w="60" w:type="dxa"/>
              <w:right w:w="120" w:type="dxa"/>
            </w:tcMar>
          </w:tcPr>
          <w:sdt>
            <w:sdtPr>
              <w:rPr>
                <w:sz w:val="20"/>
                <w:szCs w:val="20"/>
              </w:rPr>
              <w:alias w:val="HistoryDate"/>
              <w:tag w:val="HistoryDate"/>
              <w:id w:val="2210001"/>
              <w:showingPlcHdr/>
              <w:date>
                <w:dateFormat w:val="d/MM/yyyy"/>
                <w:lid w:val="en-AU"/>
                <w:storeMappedDataAs w:val="dateTime"/>
                <w:calendar w:val="gregorian"/>
              </w:date>
            </w:sdtPr>
            <w:sdtEndPr/>
            <w:sdtContent>
              <w:p w14:paraId="194BE09F" w14:textId="77777777" w:rsidR="00AC5B6E" w:rsidRDefault="00AC5B6E" w:rsidP="00457D5D">
                <w:r>
                  <w:rPr>
                    <w:rFonts w:eastAsia="Arial" w:cs="Arial"/>
                    <w:i/>
                    <w:iCs/>
                    <w:color w:val="808080"/>
                    <w:sz w:val="20"/>
                    <w:szCs w:val="20"/>
                  </w:rPr>
                  <w:t>Select date</w:t>
                </w:r>
              </w:p>
            </w:sdtContent>
          </w:sdt>
        </w:tc>
        <w:tc>
          <w:tcPr>
            <w:tcW w:w="1418" w:type="dxa"/>
            <w:tcBorders>
              <w:top w:val="single" w:sz="4" w:space="0" w:color="D0D0D0"/>
              <w:left w:val="single" w:sz="4" w:space="0" w:color="D0D0D0"/>
              <w:bottom w:val="single" w:sz="4" w:space="0" w:color="D0D0D0"/>
              <w:right w:val="single" w:sz="4" w:space="0" w:color="D0D0D0"/>
            </w:tcBorders>
            <w:tcMar>
              <w:top w:w="60" w:type="dxa"/>
              <w:left w:w="120" w:type="dxa"/>
              <w:bottom w:w="60" w:type="dxa"/>
              <w:right w:w="120" w:type="dxa"/>
            </w:tcMar>
          </w:tcPr>
          <w:sdt>
            <w:sdtPr>
              <w:rPr>
                <w:sz w:val="20"/>
                <w:szCs w:val="20"/>
              </w:rPr>
              <w:alias w:val="ReviewType"/>
              <w:tag w:val="ReviewType"/>
              <w:id w:val="2110001"/>
              <w:showingPlcHdr/>
              <w:dropDownList>
                <w:listItem w:displayText="Select..." w:value="Select..."/>
                <w:listItem w:displayText="Full review" w:value="Full review"/>
                <w:listItem w:displayText="Desktop review" w:value="Desktop review"/>
              </w:dropDownList>
            </w:sdtPr>
            <w:sdtEndPr/>
            <w:sdtContent>
              <w:p w14:paraId="0EF4F208" w14:textId="77777777" w:rsidR="00AC5B6E" w:rsidRDefault="00AC5B6E" w:rsidP="00457D5D">
                <w:r>
                  <w:rPr>
                    <w:rFonts w:eastAsia="Arial" w:cs="Arial"/>
                    <w:i/>
                    <w:iCs/>
                    <w:color w:val="808080"/>
                    <w:sz w:val="20"/>
                    <w:szCs w:val="20"/>
                  </w:rPr>
                  <w:t>Select...</w:t>
                </w:r>
              </w:p>
            </w:sdtContent>
          </w:sdt>
        </w:tc>
        <w:tc>
          <w:tcPr>
            <w:tcW w:w="2553" w:type="dxa"/>
            <w:tcBorders>
              <w:top w:val="single" w:sz="4" w:space="0" w:color="D0D0D0"/>
              <w:left w:val="single" w:sz="4" w:space="0" w:color="D0D0D0"/>
              <w:bottom w:val="single" w:sz="4" w:space="0" w:color="D0D0D0"/>
              <w:right w:val="single" w:sz="4" w:space="0" w:color="D0D0D0"/>
            </w:tcBorders>
            <w:tcMar>
              <w:top w:w="60" w:type="dxa"/>
              <w:left w:w="120" w:type="dxa"/>
              <w:bottom w:w="60" w:type="dxa"/>
              <w:right w:w="120" w:type="dxa"/>
            </w:tcMar>
          </w:tcPr>
          <w:p w14:paraId="65F5CE35" w14:textId="77777777" w:rsidR="00AC5B6E" w:rsidRDefault="00AC5B6E" w:rsidP="00457D5D">
            <w:r>
              <w:rPr>
                <w:rFonts w:eastAsia="Arial" w:cs="Arial"/>
                <w:i/>
                <w:iCs/>
                <w:color w:val="808080"/>
                <w:sz w:val="20"/>
                <w:szCs w:val="20"/>
              </w:rPr>
              <w:t>&lt;e.g. Full refresh OR Desktop review, legislation and related documents updated.&gt;</w:t>
            </w:r>
          </w:p>
        </w:tc>
        <w:tc>
          <w:tcPr>
            <w:tcW w:w="2408" w:type="dxa"/>
            <w:tcBorders>
              <w:top w:val="single" w:sz="4" w:space="0" w:color="D0D0D0"/>
              <w:left w:val="single" w:sz="4" w:space="0" w:color="D0D0D0"/>
              <w:bottom w:val="single" w:sz="4" w:space="0" w:color="D0D0D0"/>
              <w:right w:val="single" w:sz="4" w:space="0" w:color="D0D0D0"/>
            </w:tcBorders>
            <w:tcMar>
              <w:top w:w="60" w:type="dxa"/>
              <w:left w:w="120" w:type="dxa"/>
              <w:bottom w:w="60" w:type="dxa"/>
              <w:right w:w="120" w:type="dxa"/>
            </w:tcMar>
          </w:tcPr>
          <w:p w14:paraId="21F4B507" w14:textId="77777777" w:rsidR="00AC5B6E" w:rsidRDefault="00AC5B6E" w:rsidP="00457D5D">
            <w:r>
              <w:rPr>
                <w:rFonts w:eastAsia="Arial" w:cs="Arial"/>
                <w:i/>
                <w:iCs/>
                <w:color w:val="808080"/>
                <w:sz w:val="20"/>
                <w:szCs w:val="20"/>
              </w:rPr>
              <w:t>&lt;Insert final approver e.g. ELT / Council / GM/Manager / Team Leader&gt;</w:t>
            </w:r>
          </w:p>
        </w:tc>
      </w:tr>
    </w:tbl>
    <w:p>
      <w:r>
        <w:br w:type="page"/>
      </w:r>
    </w:p>
    <w:p w14:paraId="7BAC5F1C" w14:textId="1B2A4B1F" w:rsidR="00E97AAA" w:rsidRPr="001D5949" w:rsidRDefault="006A2122">
      <w:pPr>
        <w:rPr>
          <w:color w:val="38322F"/>
        </w:rPr>
      </w:pPr>
      <w:r>
        <w:rPr>
          <w:rFonts w:cs="Arial"/>
          <w:b/>
          <w:bCs/>
          <w:color w:val="38322F"/>
          <w:sz w:val="32"/>
          <w:szCs w:val="32"/>
        </w:rPr>
        <w:lastRenderedPageBreak/>
        <w:t>Table of Contents</w:t>
      </w:r>
    </w:p>
    <w:p>
      <w:pPr>
        <w:pStyle w:val="TOC1"/>
        <w:rPr>
          <w:rFonts w:asciiTheme="minorHAnsi" w:hAnsiTheme="minorHAnsi" w:cstheme="minorBidi"/>
          <w:noProof/>
          <w:kern w:val="2"/>
          <w:sz w:val="24"/>
          <w:szCs w:val="24"/>
          <w:lang w:val="en-AU" w:eastAsia="en-AU"/>
          <w14:ligatures/>
        </w:rPr>
      </w:pPr>
      <w:r>
        <w:fldChar w:fldCharType="begin"/>
      </w:r>
      <w:r>
        <w:instrText xml:space="preserve"> TOC \o "1-1" \h \z \u </w:instrText>
      </w:r>
      <w:r>
        <w:fldChar w:fldCharType="separate"/>
      </w:r>
      <w:r>
        <w:t xml:space="preserve">1.</w:t>
      </w:r>
      <w:r>
        <w:tab/>
      </w:r>
      <w:r>
        <w:t xml:space="preserve">Purpose</w:t>
      </w:r>
      <w:r>
        <w:tab/>
      </w:r>
      <w:r>
        <w:fldChar w:fldCharType="begin"/>
      </w:r>
      <w:r>
        <w:instrText xml:space="preserve"> PAGEREF _Toc900000001 \h </w:instrText>
      </w:r>
      <w:r>
        <w:fldChar w:fldCharType="separate"/>
      </w:r>
      <w:r>
        <w:t xml:space="preserve">4</w:t>
      </w:r>
      <w:r>
        <w:fldChar w:fldCharType="end"/>
      </w:r>
    </w:p>
    <w:p>
      <w:pPr>
        <w:pStyle w:val="TOC1"/>
        <w:rPr>
          <w:rFonts w:asciiTheme="minorHAnsi" w:hAnsiTheme="minorHAnsi" w:cstheme="minorBidi"/>
          <w:noProof/>
          <w:kern w:val="2"/>
          <w:sz w:val="24"/>
          <w:szCs w:val="24"/>
          <w:lang w:val="en-AU" w:eastAsia="en-AU"/>
          <w14:ligatures/>
        </w:rPr>
      </w:pPr>
      <w:r>
        <w:t xml:space="preserve">2.</w:t>
      </w:r>
      <w:r>
        <w:tab/>
      </w:r>
      <w:r>
        <w:t xml:space="preserve">Objectives</w:t>
      </w:r>
      <w:r>
        <w:tab/>
      </w:r>
      <w:r>
        <w:fldChar w:fldCharType="begin"/>
      </w:r>
      <w:r>
        <w:instrText xml:space="preserve"> PAGEREF _Toc900000002 \h </w:instrText>
      </w:r>
      <w:r>
        <w:fldChar w:fldCharType="separate"/>
      </w:r>
      <w:r>
        <w:t xml:space="preserve">4</w:t>
      </w:r>
      <w:r>
        <w:fldChar w:fldCharType="end"/>
      </w:r>
    </w:p>
    <w:p>
      <w:pPr>
        <w:pStyle w:val="TOC1"/>
        <w:rPr>
          <w:rFonts w:asciiTheme="minorHAnsi" w:hAnsiTheme="minorHAnsi" w:cstheme="minorBidi"/>
          <w:noProof/>
          <w:kern w:val="2"/>
          <w:sz w:val="24"/>
          <w:szCs w:val="24"/>
          <w:lang w:val="en-AU" w:eastAsia="en-AU"/>
          <w14:ligatures/>
        </w:rPr>
      </w:pPr>
      <w:r>
        <w:t xml:space="preserve">3.</w:t>
      </w:r>
      <w:r>
        <w:tab/>
      </w:r>
      <w:r>
        <w:t xml:space="preserve">Scope</w:t>
      </w:r>
      <w:r>
        <w:tab/>
      </w:r>
      <w:r>
        <w:fldChar w:fldCharType="begin"/>
      </w:r>
      <w:r>
        <w:instrText xml:space="preserve"> PAGEREF _Toc900000003 \h </w:instrText>
      </w:r>
      <w:r>
        <w:fldChar w:fldCharType="separate"/>
      </w:r>
      <w:r>
        <w:t xml:space="preserve">4</w:t>
      </w:r>
      <w:r>
        <w:fldChar w:fldCharType="end"/>
      </w:r>
    </w:p>
    <w:p>
      <w:pPr>
        <w:pStyle w:val="TOC1"/>
        <w:rPr>
          <w:rFonts w:asciiTheme="minorHAnsi" w:hAnsiTheme="minorHAnsi" w:cstheme="minorBidi"/>
          <w:noProof/>
          <w:kern w:val="2"/>
          <w:sz w:val="24"/>
          <w:szCs w:val="24"/>
          <w:lang w:val="en-AU" w:eastAsia="en-AU"/>
          <w14:ligatures/>
        </w:rPr>
      </w:pPr>
      <w:r>
        <w:t xml:space="preserve">4.</w:t>
      </w:r>
      <w:r>
        <w:tab/>
      </w:r>
      <w:r>
        <w:t xml:space="preserve">Principles for interaction (professional conduct, records, confidentiality)</w:t>
      </w:r>
      <w:r>
        <w:tab/>
      </w:r>
      <w:r>
        <w:fldChar w:fldCharType="begin"/>
      </w:r>
      <w:r>
        <w:instrText xml:space="preserve"> PAGEREF _Toc900000004 \h </w:instrText>
      </w:r>
      <w:r>
        <w:fldChar w:fldCharType="separate"/>
      </w:r>
      <w:r>
        <w:t xml:space="preserve">5</w:t>
      </w:r>
      <w:r>
        <w:fldChar w:fldCharType="end"/>
      </w:r>
    </w:p>
    <w:p>
      <w:pPr>
        <w:pStyle w:val="TOC1"/>
        <w:rPr>
          <w:rFonts w:asciiTheme="minorHAnsi" w:hAnsiTheme="minorHAnsi" w:cstheme="minorBidi"/>
          <w:noProof/>
          <w:kern w:val="2"/>
          <w:sz w:val="24"/>
          <w:szCs w:val="24"/>
          <w:lang w:val="en-AU" w:eastAsia="en-AU"/>
          <w14:ligatures/>
        </w:rPr>
      </w:pPr>
      <w:r>
        <w:t xml:space="preserve">5.</w:t>
      </w:r>
      <w:r>
        <w:tab/>
      </w:r>
      <w:r>
        <w:t xml:space="preserve">Role boundaries and operational separation</w:t>
      </w:r>
      <w:r>
        <w:tab/>
      </w:r>
      <w:r>
        <w:fldChar w:fldCharType="begin"/>
      </w:r>
      <w:r>
        <w:instrText xml:space="preserve"> PAGEREF _Toc900000005 \h </w:instrText>
      </w:r>
      <w:r>
        <w:fldChar w:fldCharType="separate"/>
      </w:r>
      <w:r>
        <w:t xml:space="preserve">5</w:t>
      </w:r>
      <w:r>
        <w:fldChar w:fldCharType="end"/>
      </w:r>
    </w:p>
    <w:p>
      <w:pPr>
        <w:pStyle w:val="TOC1"/>
        <w:rPr>
          <w:rFonts w:asciiTheme="minorHAnsi" w:hAnsiTheme="minorHAnsi" w:cstheme="minorBidi"/>
          <w:noProof/>
          <w:kern w:val="2"/>
          <w:sz w:val="24"/>
          <w:szCs w:val="24"/>
          <w:lang w:val="en-AU" w:eastAsia="en-AU"/>
          <w14:ligatures/>
        </w:rPr>
      </w:pPr>
      <w:r>
        <w:t xml:space="preserve">6.</w:t>
      </w:r>
      <w:r>
        <w:tab/>
      </w:r>
      <w:r>
        <w:t xml:space="preserve">Requests and response pathways</w:t>
      </w:r>
      <w:r>
        <w:tab/>
      </w:r>
      <w:r>
        <w:fldChar w:fldCharType="begin"/>
      </w:r>
      <w:r>
        <w:instrText xml:space="preserve"> PAGEREF _Toc900000006 \h </w:instrText>
      </w:r>
      <w:r>
        <w:fldChar w:fldCharType="separate"/>
      </w:r>
      <w:r>
        <w:t xml:space="preserve">6</w:t>
      </w:r>
      <w:r>
        <w:fldChar w:fldCharType="end"/>
      </w:r>
    </w:p>
    <w:p>
      <w:pPr>
        <w:pStyle w:val="TOC1"/>
        <w:rPr>
          <w:rFonts w:asciiTheme="minorHAnsi" w:hAnsiTheme="minorHAnsi" w:cstheme="minorBidi"/>
          <w:noProof/>
          <w:kern w:val="2"/>
          <w:sz w:val="24"/>
          <w:szCs w:val="24"/>
          <w:lang w:val="en-AU" w:eastAsia="en-AU"/>
          <w14:ligatures/>
        </w:rPr>
      </w:pPr>
      <w:r>
        <w:t xml:space="preserve">7.</w:t>
      </w:r>
      <w:r>
        <w:tab/>
      </w:r>
      <w:r>
        <w:t xml:space="preserve">Direct contact permissions beyond Leadership Network</w:t>
      </w:r>
      <w:r>
        <w:tab/>
      </w:r>
      <w:r>
        <w:fldChar w:fldCharType="begin"/>
      </w:r>
      <w:r>
        <w:instrText xml:space="preserve"> PAGEREF _Toc900000007 \h </w:instrText>
      </w:r>
      <w:r>
        <w:fldChar w:fldCharType="separate"/>
      </w:r>
      <w:r>
        <w:t xml:space="preserve">15</w:t>
      </w:r>
      <w:r>
        <w:fldChar w:fldCharType="end"/>
      </w:r>
    </w:p>
    <w:p>
      <w:pPr>
        <w:pStyle w:val="TOC1"/>
        <w:rPr>
          <w:rFonts w:asciiTheme="minorHAnsi" w:hAnsiTheme="minorHAnsi" w:cstheme="minorBidi"/>
          <w:noProof/>
          <w:kern w:val="2"/>
          <w:sz w:val="24"/>
          <w:szCs w:val="24"/>
          <w:lang w:val="en-AU" w:eastAsia="en-AU"/>
          <w14:ligatures/>
        </w:rPr>
      </w:pPr>
      <w:r>
        <w:t xml:space="preserve">8.</w:t>
      </w:r>
      <w:r>
        <w:tab/>
      </w:r>
      <w:r>
        <w:t xml:space="preserve">Complaints, concerns and escalation pathways</w:t>
      </w:r>
      <w:r>
        <w:tab/>
      </w:r>
      <w:r>
        <w:fldChar w:fldCharType="begin"/>
      </w:r>
      <w:r>
        <w:instrText xml:space="preserve"> PAGEREF _Toc900000008 \h </w:instrText>
      </w:r>
      <w:r>
        <w:fldChar w:fldCharType="separate"/>
      </w:r>
      <w:r>
        <w:t xml:space="preserve">17</w:t>
      </w:r>
      <w:r>
        <w:fldChar w:fldCharType="end"/>
      </w:r>
    </w:p>
    <w:p>
      <w:pPr>
        <w:pStyle w:val="TOC1"/>
        <w:rPr>
          <w:rFonts w:asciiTheme="minorHAnsi" w:hAnsiTheme="minorHAnsi" w:cstheme="minorBidi"/>
          <w:noProof/>
          <w:kern w:val="2"/>
          <w:sz w:val="24"/>
          <w:szCs w:val="24"/>
          <w:lang w:val="en-AU" w:eastAsia="en-AU"/>
          <w14:ligatures/>
        </w:rPr>
      </w:pPr>
      <w:r>
        <w:t xml:space="preserve">9.</w:t>
      </w:r>
      <w:r>
        <w:tab/>
      </w:r>
      <w:r>
        <w:t xml:space="preserve">Support services (Mayor and Councillors’ Office and Customer Experience)</w:t>
      </w:r>
      <w:r>
        <w:tab/>
      </w:r>
      <w:r>
        <w:fldChar w:fldCharType="begin"/>
      </w:r>
      <w:r>
        <w:instrText xml:space="preserve"> PAGEREF _Toc900000009 \h </w:instrText>
      </w:r>
      <w:r>
        <w:fldChar w:fldCharType="separate"/>
      </w:r>
      <w:r>
        <w:t xml:space="preserve">19</w:t>
      </w:r>
      <w:r>
        <w:fldChar w:fldCharType="end"/>
      </w:r>
    </w:p>
    <w:p>
      <w:pPr>
        <w:pStyle w:val="TOC1"/>
        <w:rPr>
          <w:rFonts w:asciiTheme="minorHAnsi" w:hAnsiTheme="minorHAnsi" w:cstheme="minorBidi"/>
          <w:noProof/>
          <w:kern w:val="2"/>
          <w:sz w:val="24"/>
          <w:szCs w:val="24"/>
          <w:lang w:val="en-AU" w:eastAsia="en-AU"/>
          <w14:ligatures/>
        </w:rPr>
      </w:pPr>
      <w:r>
        <w:t xml:space="preserve">10.</w:t>
      </w:r>
      <w:r>
        <w:tab/>
      </w:r>
      <w:r>
        <w:t xml:space="preserve">Consequences of breach</w:t>
      </w:r>
      <w:r>
        <w:tab/>
      </w:r>
      <w:r>
        <w:fldChar w:fldCharType="begin"/>
      </w:r>
      <w:r>
        <w:instrText xml:space="preserve"> PAGEREF _Toc900000010 \h </w:instrText>
      </w:r>
      <w:r>
        <w:fldChar w:fldCharType="separate"/>
      </w:r>
      <w:r>
        <w:t xml:space="preserve">19</w:t>
      </w:r>
      <w:r>
        <w:fldChar w:fldCharType="end"/>
      </w:r>
    </w:p>
    <w:p>
      <w:pPr>
        <w:pStyle w:val="TOC1"/>
        <w:rPr>
          <w:rFonts w:asciiTheme="minorHAnsi" w:hAnsiTheme="minorHAnsi" w:cstheme="minorBidi"/>
          <w:noProof/>
          <w:kern w:val="2"/>
          <w:sz w:val="24"/>
          <w:szCs w:val="24"/>
          <w:lang w:val="en-AU" w:eastAsia="en-AU"/>
          <w14:ligatures/>
        </w:rPr>
      </w:pPr>
      <w:r>
        <w:t xml:space="preserve">11.</w:t>
      </w:r>
      <w:r>
        <w:tab/>
      </w:r>
      <w:r>
        <w:t xml:space="preserve">Roles and responsibilities</w:t>
      </w:r>
      <w:r>
        <w:tab/>
      </w:r>
      <w:r>
        <w:fldChar w:fldCharType="begin"/>
      </w:r>
      <w:r>
        <w:instrText xml:space="preserve"> PAGEREF _Toc900000011 \h </w:instrText>
      </w:r>
      <w:r>
        <w:fldChar w:fldCharType="separate"/>
      </w:r>
      <w:r>
        <w:t xml:space="preserve">20</w:t>
      </w:r>
      <w:r>
        <w:fldChar w:fldCharType="end"/>
      </w:r>
    </w:p>
    <w:p>
      <w:pPr>
        <w:pStyle w:val="TOC1"/>
        <w:rPr>
          <w:rFonts w:asciiTheme="minorHAnsi" w:hAnsiTheme="minorHAnsi" w:cstheme="minorBidi"/>
          <w:noProof/>
          <w:kern w:val="2"/>
          <w:sz w:val="24"/>
          <w:szCs w:val="24"/>
          <w:lang w:val="en-AU" w:eastAsia="en-AU"/>
          <w14:ligatures/>
        </w:rPr>
      </w:pPr>
      <w:r>
        <w:t xml:space="preserve">12.</w:t>
      </w:r>
      <w:r>
        <w:tab/>
      </w:r>
      <w:r>
        <w:t xml:space="preserve">Related documents and legislation</w:t>
      </w:r>
      <w:r>
        <w:tab/>
      </w:r>
      <w:r>
        <w:fldChar w:fldCharType="begin"/>
      </w:r>
      <w:r>
        <w:instrText xml:space="preserve"> PAGEREF _Toc900000012 \h </w:instrText>
      </w:r>
      <w:r>
        <w:fldChar w:fldCharType="separate"/>
      </w:r>
      <w:r>
        <w:t xml:space="preserve">21</w:t>
      </w:r>
      <w:r>
        <w:fldChar w:fldCharType="end"/>
      </w:r>
    </w:p>
    <w:p>
      <w:pPr>
        <w:pStyle w:val="TOC1"/>
        <w:rPr>
          <w:rFonts w:asciiTheme="minorHAnsi" w:hAnsiTheme="minorHAnsi" w:cstheme="minorBidi"/>
          <w:noProof/>
          <w:kern w:val="2"/>
          <w:sz w:val="24"/>
          <w:szCs w:val="24"/>
          <w:lang w:val="en-AU" w:eastAsia="en-AU"/>
          <w14:ligatures/>
        </w:rPr>
      </w:pPr>
      <w:r>
        <w:t xml:space="preserve">13.</w:t>
      </w:r>
      <w:r>
        <w:tab/>
      </w:r>
      <w:r>
        <w:t xml:space="preserve">Definitions</w:t>
      </w:r>
      <w:r>
        <w:tab/>
      </w:r>
      <w:r>
        <w:fldChar w:fldCharType="begin"/>
      </w:r>
      <w:r>
        <w:instrText xml:space="preserve"> PAGEREF _Toc900000013 \h </w:instrText>
      </w:r>
      <w:r>
        <w:fldChar w:fldCharType="separate"/>
      </w:r>
      <w:r>
        <w:t xml:space="preserve">21</w:t>
      </w:r>
      <w:r>
        <w:fldChar w:fldCharType="end"/>
      </w:r>
    </w:p>
    <w:p>
      <w:pPr>
        <w:pStyle w:val="TOC1"/>
        <w:rPr>
          <w:rFonts w:asciiTheme="minorHAnsi" w:hAnsiTheme="minorHAnsi" w:cstheme="minorBidi"/>
          <w:noProof/>
          <w:kern w:val="2"/>
          <w:sz w:val="24"/>
          <w:szCs w:val="24"/>
          <w:lang w:val="en-AU" w:eastAsia="en-AU"/>
          <w14:ligatures/>
        </w:rPr>
      </w:pPr>
      <w:r>
        <w:t xml:space="preserve">ATTACHMENT 1 - Practical Guide for Councillors</w:t>
      </w:r>
      <w:r>
        <w:tab/>
      </w:r>
      <w:r>
        <w:fldChar w:fldCharType="begin"/>
      </w:r>
      <w:r>
        <w:instrText xml:space="preserve"> PAGEREF _Toc900000014 \h </w:instrText>
      </w:r>
      <w:r>
        <w:fldChar w:fldCharType="separate"/>
      </w:r>
      <w:r>
        <w:t xml:space="preserve">22</w:t>
      </w:r>
      <w:r>
        <w:fldChar w:fldCharType="end"/>
      </w:r>
    </w:p>
    <w:p>
      <w:pPr>
        <w:pStyle w:val="TOC1"/>
        <w:rPr>
          <w:rFonts w:asciiTheme="minorHAnsi" w:hAnsiTheme="minorHAnsi" w:cstheme="minorBidi"/>
          <w:noProof/>
          <w:kern w:val="2"/>
          <w:sz w:val="24"/>
          <w:szCs w:val="24"/>
          <w:lang w:val="en-AU" w:eastAsia="en-AU"/>
          <w14:ligatures/>
        </w:rPr>
      </w:pPr>
      <w:r>
        <w:t xml:space="preserve">ATTACHMENT 2 - Practical Guide for Council Officers</w:t>
      </w:r>
      <w:r>
        <w:tab/>
      </w:r>
      <w:r>
        <w:fldChar w:fldCharType="begin"/>
      </w:r>
      <w:r>
        <w:instrText xml:space="preserve"> PAGEREF _Toc900000015 \h </w:instrText>
      </w:r>
      <w:r>
        <w:fldChar w:fldCharType="separate"/>
      </w:r>
      <w:r>
        <w:t xml:space="preserve">24</w:t>
      </w:r>
      <w:r>
        <w:fldChar w:fldCharType="end"/>
      </w:r>
    </w:p>
    <w:p w14:paraId="1EC4D1BE" w14:textId="0862EEFE" w:rsidR="00E97AAA" w:rsidRDefault="001D5949" w:rsidP="008A63C8">
      <w:pPr>
        <w:pStyle w:val="TOC1"/>
      </w:pPr>
      <w:r>
        <w:fldChar w:fldCharType="end"/>
      </w:r>
    </w:p>
    <w:p>
      <w:r>
        <w:br w:type="page"/>
      </w:r>
    </w:p>
    <w:tbl>
      <w:tblPr>
        <w:tblStyle w:val="TableGrid"/>
        <w:tblW w:w="977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2446"/>
        <w:gridCol w:w="7324"/>
      </w:tblGrid>
      <w:tr>
        <w:trPr>
          <w:trHeight w:val="410"/>
        </w:trPr>
        <w:tc>
          <w:tcPr>
            <w:tcW w:w="2446" w:type="dxa"/>
            <w:shd w:val="clear" w:color="auto" w:fill="38322F"/>
          </w:tcPr>
          <w:p>
            <w:pPr>
              <w:spacing w:after="120"/>
              <w:rPr>
                <w:rFonts w:cs="Arial"/>
                <w:sz w:val="20"/>
                <w:szCs w:val="20"/>
                <w:b/>
                <w:bCs/>
                <w:color w:val="FFFFFF"/>
              </w:rPr>
            </w:pPr>
            <w:r>
              <w:rPr>
                <w:sz w:val="20"/>
                <w:szCs w:val="20"/>
                <w:b/>
                <w:bCs/>
                <w:color w:val="FFFFFF"/>
              </w:rPr>
              <w:t xml:space="preserve">Title </w:t>
            </w:r>
          </w:p>
        </w:tc>
        <w:tc>
          <w:tcPr>
            <w:tcW w:w="7324" w:type="dxa"/>
          </w:tcPr>
          <w:p>
            <w:pPr>
              <w:spacing w:after="120"/>
              <w:rPr>
                <w:rFonts w:cs="Arial"/>
                <w:sz w:val="20"/>
                <w:szCs w:val="20"/>
              </w:rPr>
            </w:pPr>
            <w:r>
              <w:rPr>
                <w:sz w:val="20"/>
                <w:szCs w:val="20"/>
              </w:rPr>
              <w:t xml:space="preserve">Councillor Interaction and Request Protocol </w:t>
            </w:r>
          </w:p>
        </w:tc>
      </w:tr>
      <w:tr>
        <w:tc>
          <w:tcPr>
            <w:tcW w:w="2446" w:type="dxa"/>
            <w:shd w:val="clear" w:color="auto" w:fill="38322F"/>
          </w:tcPr>
          <w:p>
            <w:pPr>
              <w:spacing w:after="120"/>
              <w:rPr>
                <w:rFonts w:cs="Arial"/>
                <w:sz w:val="20"/>
                <w:szCs w:val="20"/>
                <w:b/>
                <w:bCs/>
                <w:color w:val="FFFFFF"/>
              </w:rPr>
            </w:pPr>
            <w:r>
              <w:rPr>
                <w:sz w:val="20"/>
                <w:szCs w:val="20"/>
                <w:b/>
                <w:bCs/>
                <w:color w:val="FFFFFF"/>
              </w:rPr>
              <w:t xml:space="preserve">Description </w:t>
            </w:r>
          </w:p>
          <w:p>
            <w:pPr>
              <w:spacing w:after="120"/>
              <w:rPr>
                <w:rFonts w:cs="Arial"/>
                <w:sz w:val="20"/>
                <w:szCs w:val="20"/>
                <w:b/>
                <w:bCs/>
                <w:color w:val="FFFFFF"/>
              </w:rPr>
            </w:pPr>
          </w:p>
        </w:tc>
        <w:tc>
          <w:tcPr>
            <w:tcW w:w="7324" w:type="dxa"/>
          </w:tcPr>
          <w:p>
            <w:pPr>
              <w:spacing w:after="120"/>
              <w:rPr>
                <w:rFonts w:cs="Arial"/>
                <w:sz w:val="20"/>
                <w:szCs w:val="20"/>
              </w:rPr>
            </w:pPr>
            <w:r>
              <w:rPr>
                <w:sz w:val="20"/>
                <w:szCs w:val="20"/>
              </w:rPr>
              <w:t>To support appropriate interaction between Councillors and Council officers in accordance with section 46(3)(c) of the Local Government Act 2020.</w:t>
            </w:r>
          </w:p>
        </w:tc>
      </w:tr>
      <w:tr>
        <w:tc>
          <w:tcPr>
            <w:tcW w:w="2446" w:type="dxa"/>
            <w:shd w:val="clear" w:color="auto" w:fill="38322F"/>
          </w:tcPr>
          <w:p>
            <w:pPr>
              <w:spacing w:after="120"/>
              <w:rPr>
                <w:rFonts w:cs="Arial"/>
                <w:sz w:val="20"/>
                <w:szCs w:val="20"/>
                <w:b/>
                <w:bCs/>
                <w:color w:val="FFFFFF"/>
              </w:rPr>
            </w:pPr>
            <w:r>
              <w:rPr>
                <w:sz w:val="20"/>
                <w:szCs w:val="20"/>
                <w:b/>
                <w:bCs/>
                <w:color w:val="FFFFFF"/>
              </w:rPr>
              <w:t>Responsible area</w:t>
            </w:r>
          </w:p>
        </w:tc>
        <w:tc>
          <w:tcPr>
            <w:tcW w:w="7324" w:type="dxa"/>
          </w:tcPr>
          <w:p>
            <w:pPr>
              <w:spacing w:after="120"/>
              <w:rPr>
                <w:rFonts w:cs="Arial"/>
                <w:sz w:val="20"/>
                <w:szCs w:val="20"/>
              </w:rPr>
            </w:pPr>
            <w:r>
              <w:rPr>
                <w:sz w:val="20"/>
                <w:szCs w:val="20"/>
              </w:rPr>
              <w:t>Governance</w:t>
            </w:r>
          </w:p>
        </w:tc>
      </w:tr>
      <w:tr>
        <w:trPr>
          <w:trHeight w:val="389"/>
        </w:trPr>
        <w:tc>
          <w:tcPr>
            <w:tcW w:w="2446" w:type="dxa"/>
            <w:shd w:val="clear" w:color="auto" w:fill="38322F"/>
          </w:tcPr>
          <w:p>
            <w:pPr>
              <w:spacing w:after="120"/>
              <w:rPr>
                <w:rFonts w:cs="Arial"/>
                <w:sz w:val="20"/>
                <w:szCs w:val="20"/>
                <w:b/>
                <w:bCs/>
                <w:color w:val="FFFFFF"/>
              </w:rPr>
            </w:pPr>
            <w:r>
              <w:rPr>
                <w:sz w:val="20"/>
                <w:szCs w:val="20"/>
                <w:b/>
                <w:bCs/>
                <w:color w:val="FFFFFF"/>
              </w:rPr>
              <w:t xml:space="preserve">Approval Authority </w:t>
            </w:r>
          </w:p>
        </w:tc>
        <w:tc>
          <w:tcPr>
            <w:tcW w:w="7324" w:type="dxa"/>
          </w:tcPr>
          <w:p>
            <w:pPr>
              <w:spacing w:after="120"/>
              <w:rPr>
                <w:rFonts w:cs="Arial"/>
                <w:sz w:val="20"/>
                <w:szCs w:val="20"/>
              </w:rPr>
            </w:pPr>
            <w:r>
              <w:rPr>
                <w:sz w:val="20"/>
                <w:szCs w:val="20"/>
              </w:rPr>
              <w:t xml:space="preserve">ELT/CEO </w:t>
            </w:r>
          </w:p>
        </w:tc>
      </w:tr>
      <w:tr>
        <w:trPr>
          <w:trHeight w:val="293"/>
        </w:trPr>
        <w:tc>
          <w:tcPr>
            <w:tcW w:w="2446" w:type="dxa"/>
            <w:shd w:val="clear" w:color="auto" w:fill="38322F"/>
          </w:tcPr>
          <w:p>
            <w:pPr>
              <w:spacing w:after="120"/>
              <w:rPr>
                <w:rFonts w:cs="Arial"/>
                <w:sz w:val="20"/>
                <w:szCs w:val="20"/>
                <w:b/>
                <w:bCs/>
                <w:color w:val="FFFFFF"/>
              </w:rPr>
            </w:pPr>
            <w:r>
              <w:rPr>
                <w:sz w:val="20"/>
                <w:szCs w:val="20"/>
                <w:b/>
                <w:bCs/>
                <w:color w:val="FFFFFF"/>
              </w:rPr>
              <w:t>Date approved/adopted</w:t>
            </w:r>
          </w:p>
        </w:tc>
        <w:tc>
          <w:tcPr>
            <w:tcW w:w="7324" w:type="dxa"/>
          </w:tcPr>
          <w:p>
            <w:pPr>
              <w:spacing w:after="120"/>
              <w:rPr>
                <w:rFonts w:cs="Arial"/>
                <w:sz w:val="20"/>
                <w:szCs w:val="20"/>
              </w:rPr>
            </w:pPr>
            <w:r>
              <w:rPr>
                <w:sz w:val="20"/>
                <w:szCs w:val="20"/>
              </w:rPr>
              <w:t>May 2026</w:t>
            </w:r>
          </w:p>
        </w:tc>
      </w:tr>
      <w:tr>
        <w:tc>
          <w:tcPr>
            <w:tcW w:w="2446" w:type="dxa"/>
            <w:shd w:val="clear" w:color="auto" w:fill="38322F"/>
          </w:tcPr>
          <w:p>
            <w:pPr>
              <w:spacing w:after="120"/>
              <w:rPr>
                <w:rFonts w:cs="Arial"/>
                <w:sz w:val="20"/>
                <w:szCs w:val="20"/>
                <w:b/>
                <w:bCs/>
                <w:color w:val="FFFFFF"/>
              </w:rPr>
            </w:pPr>
            <w:r>
              <w:rPr>
                <w:sz w:val="20"/>
                <w:szCs w:val="20"/>
                <w:b/>
                <w:bCs/>
                <w:color w:val="FFFFFF"/>
              </w:rPr>
              <w:t>Version</w:t>
            </w:r>
          </w:p>
        </w:tc>
        <w:tc>
          <w:tcPr>
            <w:tcW w:w="7324" w:type="dxa"/>
          </w:tcPr>
          <w:p>
            <w:pPr>
              <w:spacing w:after="120"/>
              <w:rPr>
                <w:rFonts w:cs="Arial"/>
                <w:sz w:val="20"/>
                <w:szCs w:val="20"/>
              </w:rPr>
            </w:pPr>
            <w:r>
              <w:rPr>
                <w:sz w:val="20"/>
                <w:szCs w:val="20"/>
              </w:rPr>
              <w:t>2</w:t>
            </w:r>
          </w:p>
        </w:tc>
      </w:tr>
      <w:tr>
        <w:tc>
          <w:tcPr>
            <w:tcW w:w="2446" w:type="dxa"/>
            <w:shd w:val="clear" w:color="auto" w:fill="38322F"/>
          </w:tcPr>
          <w:p>
            <w:pPr>
              <w:spacing w:after="120"/>
              <w:rPr>
                <w:rFonts w:cs="Arial"/>
                <w:sz w:val="20"/>
                <w:szCs w:val="20"/>
                <w:b/>
                <w:bCs/>
                <w:color w:val="FFFFFF"/>
              </w:rPr>
            </w:pPr>
            <w:r>
              <w:rPr>
                <w:sz w:val="20"/>
                <w:szCs w:val="20"/>
                <w:b/>
                <w:bCs/>
                <w:color w:val="FFFFFF"/>
              </w:rPr>
              <w:t>Planned review date</w:t>
            </w:r>
          </w:p>
        </w:tc>
        <w:tc>
          <w:tcPr>
            <w:tcW w:w="7324" w:type="dxa"/>
          </w:tcPr>
          <w:p>
            <w:pPr>
              <w:spacing w:after="120"/>
              <w:rPr>
                <w:rFonts w:cs="Arial"/>
                <w:sz w:val="20"/>
                <w:szCs w:val="20"/>
              </w:rPr>
            </w:pPr>
            <w:r>
              <w:rPr>
                <w:sz w:val="20"/>
                <w:szCs w:val="20"/>
              </w:rPr>
              <w:t xml:space="preserve">Full review: May 2030</w:t>
            </w:r>
          </w:p>
        </w:tc>
      </w:tr>
    </w:tbl>
    <w:p>
      <w:pPr>
        <w:pStyle w:val="Heading1"/>
      </w:pPr>
      <w:bookmarkStart w:id="9001" w:name="_Toc900000001"/>
      <w:r>
        <w:t xml:space="preserve">Purpose</w:t>
      </w:r>
      <w:bookmarkEnd w:id="9001"/>
    </w:p>
    <w:p>
      <w:pPr>
        <w:spacing w:after="120" w:line="240" w:lineRule="auto"/>
        <w:ind w:left="720"/>
        <w:rPr/>
      </w:pPr>
      <w:r>
        <w:rPr/>
        <w:t xml:space="preserve">The purpose of this Protocol is to set out and provide clarity on the arrangements for interaction between Councillors and Council officers in accordance with section 46(3)(c) of the </w:t>
      </w:r>
      <w:r>
        <w:rPr>
          <w:i/>
          <w:iCs/>
        </w:rPr>
        <w:t>Local Government Act 2020</w:t>
      </w:r>
      <w:r>
        <w:rPr/>
        <w:t xml:space="preserve"> (the Act).</w:t>
      </w:r>
    </w:p>
    <w:p>
      <w:pPr>
        <w:pStyle w:val="Heading1"/>
      </w:pPr>
      <w:bookmarkStart w:id="9002" w:name="_Toc900000002"/>
      <w:r>
        <w:t xml:space="preserve">Objectives</w:t>
      </w:r>
      <w:bookmarkEnd w:id="9002"/>
    </w:p>
    <w:p>
      <w:pPr>
        <w:numPr>
          <w:ilvl w:val="1"/>
          <w:numId w:val="2"/>
        </w:numPr>
        <w:ind w:left="709" w:hanging="709"/>
        <w:rPr/>
      </w:pPr>
      <w:r>
        <w:rPr/>
        <w:t>The objective of this protocol is to:</w:t>
      </w:r>
    </w:p>
    <w:p>
      <w:pPr>
        <w:numPr>
          <w:ilvl w:val="2"/>
          <w:numId w:val="2"/>
        </w:numPr>
        <w:ind w:left="1418" w:hanging="709"/>
        <w:rPr/>
      </w:pPr>
      <w:r>
        <w:rPr/>
        <w:t>Support Councillors and Council officers to operate effectively within their respective roles, in accordance with the Act, associated regulations, and relevant Council policies and codes.</w:t>
      </w:r>
    </w:p>
    <w:p>
      <w:pPr>
        <w:numPr>
          <w:ilvl w:val="2"/>
          <w:numId w:val="2"/>
        </w:numPr>
        <w:ind w:left="1418" w:hanging="709"/>
        <w:rPr/>
      </w:pPr>
      <w:r>
        <w:rPr/>
        <w:t>Promote professional, respectful and constructive working relationships, and ensure Councillors receive consistent, accurate and timely advice to support informed decision-making.</w:t>
      </w:r>
    </w:p>
    <w:p>
      <w:pPr>
        <w:numPr>
          <w:ilvl w:val="2"/>
          <w:numId w:val="2"/>
        </w:numPr>
        <w:ind w:left="1418" w:hanging="709"/>
        <w:rPr/>
      </w:pPr>
      <w:r>
        <w:rPr/>
        <w:t>Uphold integrity and accountability by supporting Councillors and officers to meet their legislative obligations, including independence, impartiality, and appropriate use of information and authority.</w:t>
      </w:r>
    </w:p>
    <w:p>
      <w:pPr>
        <w:numPr>
          <w:ilvl w:val="2"/>
          <w:numId w:val="2"/>
        </w:numPr>
        <w:ind w:left="1418" w:hanging="709"/>
        <w:rPr/>
      </w:pPr>
      <w:r>
        <w:rPr/>
        <w:t>Enable efficient, consistent and equitable handling of Councillor requests, while mitigating risks through accurate information management and lawful, transparent processes.</w:t>
      </w:r>
    </w:p>
    <w:p>
      <w:pPr>
        <w:pStyle w:val="Heading1"/>
      </w:pPr>
      <w:bookmarkStart w:id="9003" w:name="_Toc900000003"/>
      <w:r>
        <w:t xml:space="preserve">Scope </w:t>
      </w:r>
      <w:bookmarkEnd w:id="9003"/>
    </w:p>
    <w:p>
      <w:pPr>
        <w:numPr>
          <w:ilvl w:val="1"/>
          <w:numId w:val="2"/>
        </w:numPr>
        <w:ind w:left="709" w:hanging="709"/>
        <w:rPr/>
      </w:pPr>
      <w:r>
        <w:rPr>
          <w:bCs/>
        </w:rPr>
        <w:t xml:space="preserve">This </w:t>
      </w:r>
      <w:r>
        <w:rPr/>
        <w:t>Protocol</w:t>
      </w:r>
      <w:r>
        <w:rPr>
          <w:bCs/>
        </w:rPr>
        <w:t xml:space="preserve"> applies to:</w:t>
      </w:r>
    </w:p>
    <w:p>
      <w:pPr>
        <w:numPr>
          <w:ilvl w:val="2"/>
          <w:numId w:val="2"/>
        </w:numPr>
        <w:ind w:left="1418" w:hanging="709"/>
        <w:rPr/>
      </w:pPr>
      <w:r>
        <w:rPr/>
        <w:t>Councillors; and</w:t>
      </w:r>
    </w:p>
    <w:p>
      <w:pPr>
        <w:numPr>
          <w:ilvl w:val="2"/>
          <w:numId w:val="2"/>
        </w:numPr>
        <w:ind w:left="1418" w:hanging="709"/>
        <w:rPr/>
      </w:pPr>
      <w:r>
        <w:rPr/>
        <w:t>Council officers, contractors, volunteers, advisory committee/reference group members, and other Council representatives; and</w:t>
      </w:r>
    </w:p>
    <w:p>
      <w:pPr>
        <w:numPr>
          <w:ilvl w:val="2"/>
          <w:numId w:val="2"/>
        </w:numPr>
        <w:ind w:left="1418" w:hanging="709"/>
        <w:rPr/>
      </w:pPr>
      <w:r>
        <w:rPr/>
        <w:t>all interactions between Councillors and officers, whether face</w:t>
        <w:noBreakHyphen/>
        <w:t>to</w:t>
        <w:noBreakHyphen/>
        <w:t>face, online, by phone, text message or in writing.</w:t>
      </w:r>
    </w:p>
    <w:p>
      <w:pPr>
        <w:numPr>
          <w:ilvl w:val="1"/>
          <w:numId w:val="2"/>
        </w:numPr>
        <w:ind w:left="709" w:hanging="709"/>
        <w:rPr/>
      </w:pPr>
      <w:r>
        <w:rPr/>
        <w:t>This Protocol does not prevent normal professional courtesies or informal communication (e.g. greetings, brief conversation at an external stakeholder meeting). Practical common sense is to be applied.</w:t>
      </w:r>
    </w:p>
    <w:p>
      <w:pPr>
        <w:numPr>
          <w:ilvl w:val="1"/>
          <w:numId w:val="2"/>
        </w:numPr>
        <w:ind w:left="709" w:hanging="709"/>
        <w:rPr/>
      </w:pPr>
      <w:r>
        <w:rPr/>
        <w:t xml:space="preserve">This Protocol is not intended to limit a Councillor’s ability to interact with Council (or officers) as an ordinary resident or ratepayer to identify and report local issues - provided the Councillor does not seek preferential treatment, direct staff, or use their position improperly.</w:t>
      </w:r>
    </w:p>
    <w:p>
      <w:pPr>
        <w:pStyle w:val="Heading1"/>
      </w:pPr>
      <w:bookmarkStart w:id="9004" w:name="_Toc900000004"/>
      <w:r>
        <w:t xml:space="preserve">Principles for interaction (professional conduct, records, confidentiality)</w:t>
      </w:r>
      <w:bookmarkEnd w:id="9004"/>
    </w:p>
    <w:p>
      <w:pPr>
        <w:numPr>
          <w:ilvl w:val="1"/>
          <w:numId w:val="2"/>
        </w:numPr>
        <w:ind w:left="709" w:hanging="709"/>
        <w:rPr/>
      </w:pPr>
      <w:r>
        <w:rPr/>
        <w:t xml:space="preserve">Councillor–officer communication must be professional, courteous and respectful at all times.</w:t>
      </w:r>
    </w:p>
    <w:p>
      <w:pPr>
        <w:numPr>
          <w:ilvl w:val="1"/>
          <w:numId w:val="2"/>
        </w:numPr>
        <w:ind w:left="709" w:hanging="709"/>
        <w:rPr/>
      </w:pPr>
      <w:r>
        <w:rPr/>
        <w:t>Professional greetings and personal interactions should be respectful and appropriate to the setting and individual preferences.</w:t>
      </w:r>
    </w:p>
    <w:p>
      <w:pPr>
        <w:numPr>
          <w:ilvl w:val="1"/>
          <w:numId w:val="2"/>
        </w:numPr>
        <w:ind w:left="709" w:hanging="709"/>
        <w:rPr/>
      </w:pPr>
      <w:r>
        <w:rPr/>
        <w:t>Gifts and hospitality offered by Councillors to Council officers must be assessed and managed in accordance with the Staff Gifts, Benefits and Hospitality Policy.</w:t>
      </w:r>
    </w:p>
    <w:p>
      <w:pPr>
        <w:numPr>
          <w:ilvl w:val="1"/>
          <w:numId w:val="2"/>
        </w:numPr>
        <w:ind w:left="709" w:hanging="709"/>
        <w:rPr/>
      </w:pPr>
      <w:r>
        <w:rPr/>
        <w:t>Councillor–officer communications relating to Council business are official Council business records and must be treated accordingly. Council business communications should not be forwarded externally, published, or posted publicly unless authorised through appropriate Council processes and consistent with privacy, confidentiality and public record requirements.</w:t>
      </w:r>
    </w:p>
    <w:p>
      <w:pPr>
        <w:numPr>
          <w:ilvl w:val="1"/>
          <w:numId w:val="2"/>
        </w:numPr>
        <w:ind w:left="709" w:hanging="709"/>
        <w:rPr/>
      </w:pPr>
      <w:r>
        <w:rPr/>
        <w:t>Councillors and officers should use Council systems and channels for Council business. Private email accounts are not appropriate for Council business-related interactions.</w:t>
      </w:r>
    </w:p>
    <w:p>
      <w:pPr>
        <w:pStyle w:val="Heading1"/>
      </w:pPr>
      <w:bookmarkStart w:id="9005" w:name="_Toc900000005"/>
      <w:r>
        <w:t xml:space="preserve">Role boundaries and operational separation</w:t>
      </w:r>
      <w:bookmarkEnd w:id="9005"/>
    </w:p>
    <w:p>
      <w:pPr>
        <w:numPr>
          <w:ilvl w:val="1"/>
          <w:numId w:val="2"/>
        </w:numPr>
        <w:ind w:left="709" w:hanging="709"/>
        <w:rPr/>
      </w:pPr>
      <w:r>
        <w:rPr/>
        <w:t>The relationship between Councillors and Council officers is governed by the Local Government Act 2020 and the Model Councillor Code of Conduct, which establish the principle of separation between Council’s governance role and the administration of the organisation.</w:t>
      </w:r>
    </w:p>
    <w:p>
      <w:pPr>
        <w:numPr>
          <w:ilvl w:val="1"/>
          <w:numId w:val="2"/>
        </w:numPr>
        <w:ind w:left="709" w:hanging="709"/>
        <w:rPr/>
      </w:pPr>
      <w:r>
        <w:rPr/>
        <w:t>Councillors are responsible for setting the strategic direction of Council, making decisions, and performing a governance and oversight role. Council officers are responsible for implementing Council decisions, managing day-to-day operations, and providing professional, independent and impartial advice.</w:t>
      </w:r>
    </w:p>
    <w:p>
      <w:pPr>
        <w:numPr>
          <w:ilvl w:val="1"/>
          <w:numId w:val="2"/>
        </w:numPr>
        <w:ind w:left="709" w:hanging="709"/>
        <w:rPr/>
      </w:pPr>
      <w:r>
        <w:rPr/>
        <w:t>Maintaining this separation is critical to ensuring lawful decision-making, organisational integrity, and public confidence. Councillor–officer interactions must not blur or undermine these distinct roles.</w:t>
      </w:r>
    </w:p>
    <w:p>
      <w:pPr>
        <w:pStyle w:val="Heading2"/>
      </w:pPr>
      <w:r>
        <w:t xml:space="preserve">No direction or improper influence</w:t>
      </w:r>
    </w:p>
    <w:p>
      <w:pPr>
        <w:numPr>
          <w:ilvl w:val="2"/>
          <w:numId w:val="2"/>
        </w:numPr>
        <w:ind w:left="1418" w:hanging="709"/>
        <w:rPr/>
      </w:pPr>
      <w:r>
        <w:rPr/>
        <w:t>Councillors must not direct, unduly influence, pressure, or seek to direct any Council officer in any public or private forum.</w:t>
      </w:r>
    </w:p>
    <w:p>
      <w:pPr>
        <w:numPr>
          <w:ilvl w:val="2"/>
          <w:numId w:val="2"/>
        </w:numPr>
        <w:ind w:left="1418" w:hanging="709"/>
        <w:rPr/>
      </w:pPr>
      <w:r>
        <w:rPr/>
        <w:t>Councillors must not influence the authoring of Council reports or recommendations. Reports and recommendations are the responsibility of the authoring officer and reflect professional judgement and assessment of relevant issues.</w:t>
      </w:r>
    </w:p>
    <w:p>
      <w:pPr>
        <w:numPr>
          <w:ilvl w:val="2"/>
          <w:numId w:val="2"/>
        </w:numPr>
        <w:ind w:left="1418" w:hanging="709"/>
        <w:rPr/>
      </w:pPr>
      <w:r>
        <w:rPr/>
        <w:t>Requests for documents or copies of information relating to operational matters or decisions made under delegated authority (including as Authorised Officers) will be provided only where appropriate and at the discretion of the relevant Manager/GM (subject to confidentiality, privacy and legal constraints).</w:t>
      </w:r>
    </w:p>
    <w:p>
      <w:pPr>
        <w:pStyle w:val="Heading2"/>
      </w:pPr>
      <w:r>
        <w:t xml:space="preserve">Involvement in operational matters (including field work and frontline sites)</w:t>
      </w:r>
    </w:p>
    <w:p>
      <w:pPr>
        <w:numPr>
          <w:ilvl w:val="2"/>
          <w:numId w:val="2"/>
        </w:numPr>
        <w:ind w:left="1418" w:hanging="709"/>
        <w:rPr/>
      </w:pPr>
      <w:r>
        <w:rPr/>
        <w:t>Councillors should not interrupt, interfere with, or attempt to influence officers while they are undertaking operational duties (including in the field, depots, worksites or other operational settings).</w:t>
      </w:r>
    </w:p>
    <w:p>
      <w:pPr>
        <w:numPr>
          <w:ilvl w:val="2"/>
          <w:numId w:val="2"/>
        </w:numPr>
        <w:ind w:left="1418" w:hanging="709"/>
        <w:rPr/>
      </w:pPr>
      <w:r>
        <w:rPr/>
        <w:t>Councillors may offer a brief greeting or thanks provided it does not disrupt operations or create perceived direction or influence.</w:t>
      </w:r>
    </w:p>
    <w:p>
      <w:pPr>
        <w:numPr>
          <w:ilvl w:val="2"/>
          <w:numId w:val="2"/>
        </w:numPr>
        <w:ind w:left="1418" w:hanging="709"/>
        <w:rPr/>
      </w:pPr>
      <w:r>
        <w:rPr/>
        <w:t>Councillors may attend an ASSIST counter as a customer/resident but must not seek to influence or direct ASSIST officers in carrying out their roles and must follow standard customer processes.</w:t>
      </w:r>
    </w:p>
    <w:p>
      <w:pPr>
        <w:numPr>
          <w:ilvl w:val="2"/>
          <w:numId w:val="2"/>
        </w:numPr>
        <w:ind w:left="1418" w:hanging="709"/>
        <w:rPr/>
      </w:pPr>
      <w:r>
        <w:rPr/>
        <w:t xml:space="preserve">This Protocol applies during community engagement and Council programs/events (e.g. Neighbourhood Engagement Program). Where specific program guidance exists, it </w:t>
        <w:t>should be followed in addition to this Protocol.</w:t>
      </w:r>
    </w:p>
    <w:p>
      <w:pPr>
        <w:pStyle w:val="Heading1"/>
      </w:pPr>
      <w:bookmarkStart w:id="9006" w:name="_Toc900000006"/>
      <w:r>
        <w:t xml:space="preserve">Requests and response pathways </w:t>
      </w:r>
      <w:bookmarkEnd w:id="9006"/>
    </w:p>
    <w:p>
      <w:pPr>
        <w:pStyle w:val="Heading2"/>
      </w:pPr>
      <w:r>
        <w:t xml:space="preserve">Introduction</w:t>
      </w:r>
    </w:p>
    <w:p>
      <w:pPr>
        <w:numPr>
          <w:ilvl w:val="2"/>
          <w:numId w:val="2"/>
        </w:numPr>
        <w:ind w:left="1418" w:hanging="709"/>
        <w:rPr/>
      </w:pPr>
      <w:r>
        <w:rPr/>
        <w:t xml:space="preserve">Councillors and Council officers communicate in a variety of ways. This section provides guidance on the most common contact types - requests for information/advice, service requests, urgent matters and escalation pathways - and explains the correct channels to use so matters are triaged and managed consistently.</w:t>
      </w:r>
    </w:p>
    <w:p>
      <w:pPr>
        <w:numPr>
          <w:ilvl w:val="2"/>
          <w:numId w:val="2"/>
        </w:numPr>
        <w:ind w:left="1418" w:hanging="709"/>
        <w:rPr/>
      </w:pPr>
      <w:r>
        <w:rPr/>
        <w:t xml:space="preserve">This section does not replace the governance processes for Council meetings or Councillor briefings, which are governed by Council’s Governance Rules, Councillor Briefing and Individual Briefing Guidelines and other relevant documents. However, the principles and behavioural expectations in Sections 4 and 5 of this Protocol continue to apply to all interactions, including meetings and briefings.</w:t>
      </w:r>
    </w:p>
    <w:p>
      <w:pPr>
        <w:numPr>
          <w:ilvl w:val="2"/>
          <w:numId w:val="2"/>
        </w:numPr>
        <w:ind w:left="1418" w:hanging="709"/>
        <w:rPr/>
      </w:pPr>
      <w:r>
        <w:rPr/>
        <w:t>Councillors are advised to use the following pathways to ensure requests are triaged correctly and handled consistently:</w:t>
      </w:r>
    </w:p>
    <w:p>
      <w:pPr>
        <w:pageBreakBefore/>
        <w:rPr/>
      </w:pPr>
      <w:r>
        <w:rPr>
          <w:b/>
          <w:bCs/>
        </w:rPr>
        <w:t>Figure 1:</w:t>
      </w:r>
      <w:r>
        <w:rPr/>
        <w:t xml:space="preserve"> </w:t>
      </w:r>
      <w:r>
        <w:rPr>
          <w:b/>
          <w:bCs/>
        </w:rPr>
        <w:t>Request decision tree</w:t>
      </w:r>
      <w:r>
        <w:rPr/>
        <w:t xml:space="preserve"> </w:t>
      </w:r>
    </w:p>
    <w:p>
      <w:pPr>
        <w:spacing w:after="0"/>
        <w:rPr>
          <w:rFonts w:cs="Arial"/>
          <w:sz w:val="20"/>
          <w:szCs w:val="20"/>
        </w:rPr>
      </w:pPr>
      <w:r>
        <w:rPr/>
        <w:drawing>
          <wp:anchor distT="0" distB="0" distL="114300" distR="114300" simplePos="0" relativeHeight="251658240" behindDoc="0" locked="0" layoutInCell="1" allowOverlap="1" wp14:anchorId="6AEAFA90" wp14:editId="7BE898A0">
            <wp:simplePos x="0" y="0"/>
            <wp:positionH relativeFrom="column">
              <wp:posOffset>-533401</wp:posOffset>
            </wp:positionH>
            <wp:positionV relativeFrom="paragraph">
              <wp:posOffset>145415</wp:posOffset>
            </wp:positionV>
            <wp:extent cx="5731510" cy="7196046"/>
            <wp:effectExtent l="0" t="0" r="1905" b="6350"/>
            <wp:wrapNone/>
            <wp:docPr id="507145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45773" name="Picture 1"/>
                    <pic:cNvPicPr/>
                  </pic:nvPicPr>
                  <pic:blipFill rotWithShape="1">
                    <a:blip r:embed="rId200">
                      <a:extLst>
                        <a:ext uri="{28A0092B-C50C-407E-A947-70E740481C1C}">
                          <a14:useLocalDpi xmlns:a14="http://schemas.microsoft.com/office/drawing/2010/main" val="0"/>
                        </a:ext>
                      </a:extLst>
                    </a:blip>
                    <a:srcRect l="2452" t="8285" r="6400" b="10815"/>
                    <a:stretch>
                      <a:fillRect/>
                    </a:stretch>
                  </pic:blipFill>
                  <pic:spPr bwMode="auto">
                    <a:xfrm>
                      <a:off x="0" y="0"/>
                      <a:ext cx="5731510" cy="719604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
        <w:br w:type="page"/>
      </w:r>
    </w:p>
    <w:p>
      <w:pPr>
        <w:rPr>
          <w:b/>
          <w:bCs/>
        </w:rPr>
      </w:pPr>
      <w:r>
        <w:rPr>
          <w:b/>
          <w:bCs/>
        </w:rPr>
        <w:t>Table 1: Request and response pathways</w:t>
      </w:r>
    </w:p>
    <w:tbl>
      <w:tblPr>
        <w:tblStyle w:val="TableGrid"/>
        <w:tblW w:w="9770" w:type="dxa"/>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ayout w:type="fixed"/>
        <w:tblCellMar>
          <w:top w:w="57" w:type="dxa"/>
          <w:left w:w="57" w:type="dxa"/>
          <w:bottom w:w="57" w:type="dxa"/>
          <w:right w:w="57" w:type="dxa"/>
        </w:tblCellMar>
        <w:tblLook w:val="04A0" w:firstRow="1" w:lastRow="0" w:firstColumn="1" w:lastColumn="0" w:noHBand="0" w:noVBand="1"/>
      </w:tblPr>
      <w:tblGrid>
        <w:gridCol w:w="1353"/>
        <w:gridCol w:w="2584"/>
        <w:gridCol w:w="2575"/>
        <w:gridCol w:w="3258"/>
      </w:tblGrid>
      <w:tr>
        <w:trPr>
          <w:trHeight w:val="301"/>
          <w:jc w:val="center"/>
          <w:tblHeader/>
        </w:trPr>
        <w:tc>
          <w:tcPr>
            <w:tcW w:w="1353" w:type="dxa"/>
            <w:shd w:val="clear" w:color="auto" w:fill="38322F"/>
            <w:vAlign w:val="center"/>
          </w:tcPr>
          <w:p>
            <w:pPr>
              <w:spacing w:after="120"/>
              <w:rPr>
                <w:sz w:val="18"/>
                <w:szCs w:val="18"/>
                <w:b/>
                <w:bCs/>
                <w:color w:val="FFFFFF"/>
              </w:rPr>
            </w:pPr>
            <w:r>
              <w:rPr>
                <w:sz w:val="18"/>
                <w:szCs w:val="18"/>
                <w:b/>
                <w:bCs/>
                <w:color w:val="FFFFFF"/>
              </w:rPr>
              <w:t>Request Type</w:t>
            </w:r>
          </w:p>
        </w:tc>
        <w:tc>
          <w:tcPr>
            <w:tcW w:w="2584" w:type="dxa"/>
            <w:shd w:val="clear" w:color="auto" w:fill="38322F"/>
            <w:vAlign w:val="center"/>
          </w:tcPr>
          <w:p>
            <w:pPr>
              <w:spacing w:after="120"/>
              <w:rPr>
                <w:sz w:val="18"/>
                <w:szCs w:val="18"/>
                <w:b/>
                <w:bCs/>
                <w:color w:val="FFFFFF"/>
              </w:rPr>
            </w:pPr>
            <w:r>
              <w:rPr>
                <w:sz w:val="18"/>
                <w:szCs w:val="18"/>
                <w:b/>
                <w:bCs/>
                <w:color w:val="FFFFFF"/>
              </w:rPr>
              <w:t>Description</w:t>
            </w:r>
          </w:p>
        </w:tc>
        <w:tc>
          <w:tcPr>
            <w:tcW w:w="2575" w:type="dxa"/>
            <w:shd w:val="clear" w:color="auto" w:fill="38322F"/>
            <w:vAlign w:val="center"/>
          </w:tcPr>
          <w:p>
            <w:pPr>
              <w:spacing w:after="120"/>
              <w:rPr>
                <w:sz w:val="18"/>
                <w:szCs w:val="18"/>
                <w:b/>
                <w:bCs/>
                <w:color w:val="FFFFFF"/>
              </w:rPr>
            </w:pPr>
            <w:r>
              <w:rPr>
                <w:sz w:val="18"/>
                <w:szCs w:val="18"/>
                <w:b/>
                <w:bCs/>
                <w:color w:val="FFFFFF"/>
              </w:rPr>
              <w:t>Example</w:t>
            </w:r>
          </w:p>
        </w:tc>
        <w:tc>
          <w:tcPr>
            <w:tcW w:w="3258" w:type="dxa"/>
            <w:shd w:val="clear" w:color="auto" w:fill="38322F"/>
            <w:vAlign w:val="center"/>
          </w:tcPr>
          <w:p>
            <w:pPr>
              <w:spacing w:after="120"/>
              <w:rPr>
                <w:sz w:val="18"/>
                <w:szCs w:val="18"/>
                <w:b/>
                <w:bCs/>
                <w:color w:val="FFFFFF"/>
              </w:rPr>
            </w:pPr>
            <w:r>
              <w:rPr>
                <w:sz w:val="18"/>
                <w:szCs w:val="18"/>
                <w:b/>
                <w:bCs/>
                <w:color w:val="FFFFFF"/>
              </w:rPr>
              <w:t>Pathway</w:t>
            </w:r>
          </w:p>
        </w:tc>
      </w:tr>
      <w:tr>
        <w:trPr>
          <w:jc w:val="center"/>
        </w:trPr>
        <w:tc>
          <w:tcPr>
            <w:tcW w:w="1353" w:type="dxa"/>
            <w:shd w:val="clear" w:color="auto" w:fill="E7E6E6"/>
          </w:tcPr>
          <w:p>
            <w:pPr>
              <w:spacing w:after="120"/>
              <w:rPr>
                <w:b/>
                <w:sz w:val="18"/>
                <w:szCs w:val="18"/>
              </w:rPr>
            </w:pPr>
            <w:r>
              <w:rPr>
                <w:b/>
                <w:sz w:val="18"/>
                <w:szCs w:val="18"/>
              </w:rPr>
              <w:t xml:space="preserve">Requests for information or advice </w:t>
            </w:r>
          </w:p>
          <w:p>
            <w:pPr>
              <w:spacing w:after="120"/>
              <w:rPr>
                <w:b/>
                <w:sz w:val="18"/>
                <w:szCs w:val="18"/>
              </w:rPr>
            </w:pPr>
            <w:r>
              <w:rPr>
                <w:b/>
                <w:sz w:val="18"/>
                <w:szCs w:val="18"/>
              </w:rPr>
              <w:t xml:space="preserve">(see Section 6.3)</w:t>
            </w:r>
          </w:p>
          <w:p>
            <w:pPr>
              <w:spacing w:after="120"/>
              <w:rPr>
                <w:sz w:val="18"/>
                <w:szCs w:val="18"/>
              </w:rPr>
            </w:pPr>
          </w:p>
        </w:tc>
        <w:tc>
          <w:tcPr>
            <w:tcW w:w="2584" w:type="dxa"/>
            <w:shd w:val="clear" w:color="auto" w:fill="E7E6E6"/>
          </w:tcPr>
          <w:p>
            <w:pPr>
              <w:spacing w:after="120"/>
              <w:rPr>
                <w:sz w:val="18"/>
                <w:szCs w:val="18"/>
              </w:rPr>
            </w:pPr>
            <w:r>
              <w:rPr>
                <w:sz w:val="18"/>
                <w:szCs w:val="18"/>
              </w:rPr>
              <w:t xml:space="preserve">To support councillors in understanding council matters, support decision making and performing their role. </w:t>
            </w:r>
          </w:p>
          <w:p>
            <w:pPr>
              <w:spacing w:after="120"/>
              <w:rPr>
                <w:sz w:val="18"/>
                <w:szCs w:val="18"/>
              </w:rPr>
            </w:pPr>
          </w:p>
        </w:tc>
        <w:tc>
          <w:tcPr>
            <w:tcW w:w="2575" w:type="dxa"/>
            <w:shd w:val="clear" w:color="auto" w:fill="E7E6E6"/>
          </w:tcPr>
          <w:p>
            <w:pPr>
              <w:spacing w:after="120"/>
              <w:rPr>
                <w:sz w:val="18"/>
                <w:szCs w:val="18"/>
              </w:rPr>
            </w:pPr>
            <w:r>
              <w:rPr>
                <w:sz w:val="18"/>
                <w:szCs w:val="18"/>
              </w:rPr>
              <w:t xml:space="preserve">A councillor requests a brief overview of Council’s strategic priorities for open space in their ward. </w:t>
            </w:r>
          </w:p>
          <w:p>
            <w:pPr>
              <w:spacing w:after="120"/>
              <w:rPr>
                <w:sz w:val="18"/>
                <w:szCs w:val="18"/>
              </w:rPr>
            </w:pPr>
          </w:p>
        </w:tc>
        <w:tc>
          <w:tcPr>
            <w:tcW w:w="3258" w:type="dxa"/>
            <w:shd w:val="clear" w:color="auto" w:fill="E7E6E6"/>
          </w:tcPr>
          <w:p>
            <w:pPr>
              <w:spacing w:after="120"/>
              <w:rPr>
                <w:sz w:val="18"/>
                <w:szCs w:val="18"/>
              </w:rPr>
            </w:pPr>
            <w:r>
              <w:rPr>
                <w:sz w:val="18"/>
                <w:szCs w:val="18"/>
              </w:rPr>
              <w:t>Email the Councillor Request Helpdesk (helpdeskcouncilreq@portphillip.vic.gov.au) so the request is logged/tracked/reported. Copy the relevant Manager and/or officer if known. If unsure who is responsible, email the helpdesk only - it will triage and allocate to the responsible GM/area within 1 business day.</w:t>
            </w:r>
          </w:p>
        </w:tc>
      </w:tr>
      <w:tr>
        <w:trPr>
          <w:trHeight w:val="1102"/>
          <w:jc w:val="center"/>
        </w:trPr>
        <w:tc>
          <w:tcPr>
            <w:tcW w:w="1353" w:type="dxa"/>
            <w:vMerge w:val="restart"/>
          </w:tcPr>
          <w:p>
            <w:pPr>
              <w:spacing w:after="120"/>
              <w:rPr>
                <w:b/>
                <w:sz w:val="18"/>
                <w:szCs w:val="18"/>
              </w:rPr>
            </w:pPr>
            <w:r>
              <w:rPr>
                <w:b/>
                <w:sz w:val="18"/>
                <w:szCs w:val="18"/>
              </w:rPr>
              <w:t>Requests for service</w:t>
            </w:r>
            <w:r>
              <w:rPr>
                <w:sz w:val="18"/>
                <w:szCs w:val="18"/>
              </w:rPr>
              <w:t xml:space="preserve"> </w:t>
            </w:r>
            <w:r>
              <w:rPr>
                <w:b/>
                <w:sz w:val="18"/>
                <w:szCs w:val="18"/>
              </w:rPr>
              <w:t xml:space="preserve">(see Section 6.4)</w:t>
            </w:r>
          </w:p>
          <w:p>
            <w:pPr>
              <w:spacing w:after="120"/>
              <w:rPr>
                <w:sz w:val="18"/>
                <w:szCs w:val="18"/>
              </w:rPr>
            </w:pPr>
          </w:p>
          <w:p>
            <w:pPr>
              <w:spacing w:after="120"/>
              <w:rPr>
                <w:sz w:val="18"/>
                <w:szCs w:val="18"/>
              </w:rPr>
            </w:pPr>
          </w:p>
        </w:tc>
        <w:tc>
          <w:tcPr>
            <w:tcW w:w="2584" w:type="dxa"/>
          </w:tcPr>
          <w:p>
            <w:pPr>
              <w:spacing w:after="120"/>
              <w:rPr>
                <w:sz w:val="18"/>
                <w:szCs w:val="18"/>
              </w:rPr>
            </w:pPr>
            <w:r>
              <w:rPr>
                <w:b/>
                <w:sz w:val="18"/>
                <w:szCs w:val="18"/>
              </w:rPr>
              <w:t>Customer</w:t>
            </w:r>
            <w:r>
              <w:rPr>
                <w:sz w:val="18"/>
                <w:szCs w:val="18"/>
              </w:rPr>
              <w:t xml:space="preserve"> </w:t>
            </w:r>
          </w:p>
          <w:p>
            <w:pPr>
              <w:spacing w:after="120"/>
              <w:rPr>
                <w:sz w:val="18"/>
                <w:szCs w:val="18"/>
              </w:rPr>
            </w:pPr>
            <w:r>
              <w:rPr>
                <w:sz w:val="18"/>
                <w:szCs w:val="18"/>
              </w:rPr>
              <w:t>Where councillors forward a service request on behalf of a customer.</w:t>
            </w:r>
          </w:p>
        </w:tc>
        <w:tc>
          <w:tcPr>
            <w:tcW w:w="2575" w:type="dxa"/>
          </w:tcPr>
          <w:p>
            <w:pPr>
              <w:spacing w:after="120"/>
              <w:rPr>
                <w:sz w:val="18"/>
                <w:szCs w:val="18"/>
              </w:rPr>
            </w:pPr>
            <w:r>
              <w:rPr>
                <w:sz w:val="18"/>
                <w:szCs w:val="18"/>
              </w:rPr>
              <w:t xml:space="preserve">A resident emails a councillor to inform them of graffiti on a council asset and requests their support in getting it cleaned.</w:t>
            </w:r>
          </w:p>
        </w:tc>
        <w:tc>
          <w:tcPr>
            <w:tcW w:w="3258" w:type="dxa"/>
          </w:tcPr>
          <w:p>
            <w:pPr>
              <w:spacing w:after="120"/>
              <w:rPr>
                <w:sz w:val="18"/>
                <w:szCs w:val="18"/>
              </w:rPr>
            </w:pPr>
            <w:r>
              <w:rPr>
                <w:sz w:val="18"/>
                <w:szCs w:val="18"/>
              </w:rPr>
              <w:t>Encourage resident to lodge via</w:t>
            </w:r>
          </w:p>
          <w:p>
            <w:pPr>
              <w:numPr>
                <w:ilvl w:val="0"/>
                <w:numId w:val="112"/>
              </w:numPr>
              <w:spacing w:after="120"/>
              <w:rPr>
                <w:sz w:val="18"/>
                <w:szCs w:val="18"/>
              </w:rPr>
            </w:pPr>
            <w:r>
              <w:rPr>
                <w:sz w:val="18"/>
                <w:szCs w:val="18"/>
              </w:rPr>
              <w:t xml:space="preserve">Snap Send Solve (preferred) </w:t>
            </w:r>
          </w:p>
          <w:p>
            <w:pPr>
              <w:numPr>
                <w:ilvl w:val="0"/>
                <w:numId w:val="112"/>
              </w:numPr>
              <w:spacing w:after="120"/>
              <w:rPr>
                <w:sz w:val="18"/>
                <w:szCs w:val="18"/>
              </w:rPr>
            </w:pPr>
            <w:r>
              <w:rPr>
                <w:sz w:val="18"/>
                <w:szCs w:val="18"/>
              </w:rPr>
              <w:t xml:space="preserve">My Port Phillip </w:t>
            </w:r>
          </w:p>
          <w:p>
            <w:pPr>
              <w:numPr>
                <w:ilvl w:val="0"/>
                <w:numId w:val="112"/>
              </w:numPr>
              <w:spacing w:after="120"/>
              <w:rPr>
                <w:sz w:val="18"/>
                <w:szCs w:val="18"/>
              </w:rPr>
            </w:pPr>
            <w:r>
              <w:rPr>
                <w:sz w:val="18"/>
                <w:szCs w:val="18"/>
              </w:rPr>
              <w:t>ASSIST</w:t>
            </w:r>
          </w:p>
        </w:tc>
      </w:tr>
      <w:tr>
        <w:trPr>
          <w:jc w:val="center"/>
        </w:trPr>
        <w:tc>
          <w:tcPr>
            <w:tcW w:w="1353" w:type="dxa"/>
            <w:vMerge/>
          </w:tcPr>
          <w:p>
            <w:pPr>
              <w:spacing w:after="120"/>
              <w:rPr>
                <w:b/>
                <w:sz w:val="18"/>
                <w:szCs w:val="18"/>
              </w:rPr>
            </w:pPr>
          </w:p>
        </w:tc>
        <w:tc>
          <w:tcPr>
            <w:tcW w:w="2584" w:type="dxa"/>
          </w:tcPr>
          <w:p>
            <w:pPr>
              <w:spacing w:after="120"/>
              <w:rPr>
                <w:b/>
                <w:sz w:val="18"/>
                <w:szCs w:val="18"/>
              </w:rPr>
            </w:pPr>
            <w:r>
              <w:rPr>
                <w:b/>
                <w:sz w:val="18"/>
                <w:szCs w:val="18"/>
              </w:rPr>
              <w:t>Customer escalation</w:t>
            </w:r>
          </w:p>
          <w:p>
            <w:pPr>
              <w:spacing w:after="120"/>
              <w:rPr>
                <w:sz w:val="18"/>
                <w:szCs w:val="18"/>
              </w:rPr>
            </w:pPr>
            <w:r>
              <w:rPr>
                <w:sz w:val="18"/>
                <w:szCs w:val="18"/>
              </w:rPr>
              <w:t>Where councillors escalate a service request on behalf of a customer.</w:t>
            </w:r>
          </w:p>
          <w:p>
            <w:pPr>
              <w:spacing w:after="120"/>
              <w:rPr>
                <w:sz w:val="18"/>
                <w:szCs w:val="18"/>
              </w:rPr>
            </w:pPr>
          </w:p>
        </w:tc>
        <w:tc>
          <w:tcPr>
            <w:tcW w:w="2575" w:type="dxa"/>
          </w:tcPr>
          <w:p>
            <w:pPr>
              <w:spacing w:after="120"/>
              <w:rPr>
                <w:sz w:val="18"/>
                <w:szCs w:val="18"/>
              </w:rPr>
            </w:pPr>
            <w:r>
              <w:rPr>
                <w:sz w:val="18"/>
                <w:szCs w:val="18"/>
              </w:rPr>
              <w:t xml:space="preserve">A resident emails a councillor to inform them of graffiti on a council asset that is yet to be removed after having contacted council through frontline channels, and requests the councillor escalate for prioritisation. This is considered a complaint under Council’s </w:t>
            </w:r>
            <w:r>
              <w:rPr>
                <w:i/>
                <w:sz w:val="18"/>
                <w:szCs w:val="18"/>
              </w:rPr>
              <w:t>Managing Complaints Policy</w:t>
            </w:r>
            <w:r>
              <w:rPr>
                <w:sz w:val="18"/>
                <w:szCs w:val="18"/>
              </w:rPr>
              <w:t>.</w:t>
            </w:r>
          </w:p>
        </w:tc>
        <w:tc>
          <w:tcPr>
            <w:tcW w:w="3258" w:type="dxa"/>
          </w:tcPr>
          <w:p>
            <w:pPr>
              <w:spacing w:after="120"/>
              <w:rPr>
                <w:sz w:val="18"/>
                <w:szCs w:val="18"/>
              </w:rPr>
            </w:pPr>
            <w:r>
              <w:rPr>
                <w:sz w:val="18"/>
                <w:szCs w:val="18"/>
              </w:rPr>
              <w:t xml:space="preserve">In the first instance please request customer use escalation processes.</w:t>
            </w:r>
          </w:p>
          <w:p>
            <w:pPr>
              <w:spacing w:after="120"/>
              <w:rPr>
                <w:sz w:val="18"/>
                <w:szCs w:val="18"/>
              </w:rPr>
            </w:pPr>
            <w:r>
              <w:rPr>
                <w:sz w:val="18"/>
                <w:szCs w:val="18"/>
              </w:rPr>
              <w:t xml:space="preserve">If there is a pattern of repeated service failure, use complaint escalation workflow (see Section 8). </w:t>
            </w:r>
          </w:p>
          <w:p>
            <w:pPr>
              <w:spacing w:after="120"/>
              <w:rPr>
                <w:sz w:val="18"/>
                <w:szCs w:val="18"/>
              </w:rPr>
            </w:pPr>
            <w:r>
              <w:rPr>
                <w:sz w:val="18"/>
                <w:szCs w:val="18"/>
              </w:rPr>
              <w:t xml:space="preserve">Otherwise, discuss best approach for logging with CX advisor at fortnightly request catch-up. </w:t>
            </w:r>
          </w:p>
        </w:tc>
      </w:tr>
      <w:tr>
        <w:trPr>
          <w:jc w:val="center"/>
        </w:trPr>
        <w:tc>
          <w:tcPr>
            <w:tcW w:w="1353" w:type="dxa"/>
            <w:vMerge/>
          </w:tcPr>
          <w:p>
            <w:pPr>
              <w:spacing w:after="120"/>
              <w:rPr>
                <w:sz w:val="18"/>
                <w:szCs w:val="18"/>
              </w:rPr>
            </w:pPr>
          </w:p>
        </w:tc>
        <w:tc>
          <w:tcPr>
            <w:tcW w:w="2584" w:type="dxa"/>
          </w:tcPr>
          <w:p>
            <w:pPr>
              <w:spacing w:after="120"/>
              <w:rPr>
                <w:sz w:val="18"/>
                <w:szCs w:val="18"/>
              </w:rPr>
            </w:pPr>
            <w:r>
              <w:rPr>
                <w:b/>
                <w:sz w:val="18"/>
                <w:szCs w:val="18"/>
              </w:rPr>
              <w:t>Councillor</w:t>
            </w:r>
            <w:r>
              <w:rPr>
                <w:sz w:val="18"/>
                <w:szCs w:val="18"/>
              </w:rPr>
              <w:t xml:space="preserve"> </w:t>
            </w:r>
          </w:p>
          <w:p>
            <w:pPr>
              <w:spacing w:after="120"/>
              <w:rPr>
                <w:sz w:val="18"/>
                <w:szCs w:val="18"/>
              </w:rPr>
            </w:pPr>
            <w:r>
              <w:rPr>
                <w:sz w:val="18"/>
                <w:szCs w:val="18"/>
              </w:rPr>
              <w:t>Where councillors raise or refer service matters for themselves to be handled through established operational processes. Use personal email.</w:t>
            </w:r>
          </w:p>
        </w:tc>
        <w:tc>
          <w:tcPr>
            <w:tcW w:w="2575" w:type="dxa"/>
          </w:tcPr>
          <w:p>
            <w:pPr>
              <w:spacing w:after="120"/>
              <w:rPr>
                <w:sz w:val="18"/>
                <w:szCs w:val="18"/>
              </w:rPr>
            </w:pPr>
            <w:r>
              <w:rPr>
                <w:sz w:val="18"/>
                <w:szCs w:val="18"/>
              </w:rPr>
              <w:t>A councillor, in their capacity as a resident, notices public bins in their local park are overflowing, and wants to request they be emptied.</w:t>
            </w:r>
          </w:p>
        </w:tc>
        <w:tc>
          <w:tcPr>
            <w:tcW w:w="3258" w:type="dxa"/>
          </w:tcPr>
          <w:p>
            <w:pPr>
              <w:spacing w:after="120"/>
              <w:rPr>
                <w:sz w:val="18"/>
                <w:szCs w:val="18"/>
              </w:rPr>
            </w:pPr>
            <w:r>
              <w:rPr>
                <w:sz w:val="18"/>
                <w:szCs w:val="18"/>
              </w:rPr>
              <w:t>Lodge via:</w:t>
            </w:r>
          </w:p>
          <w:p>
            <w:pPr>
              <w:numPr>
                <w:ilvl w:val="0"/>
                <w:numId w:val="112"/>
              </w:numPr>
              <w:spacing w:after="120"/>
              <w:rPr>
                <w:sz w:val="18"/>
                <w:szCs w:val="18"/>
              </w:rPr>
            </w:pPr>
            <w:r>
              <w:rPr>
                <w:sz w:val="18"/>
                <w:szCs w:val="18"/>
              </w:rPr>
              <w:t xml:space="preserve">Snap Send Solve </w:t>
            </w:r>
          </w:p>
          <w:p>
            <w:pPr>
              <w:numPr>
                <w:ilvl w:val="0"/>
                <w:numId w:val="112"/>
              </w:numPr>
              <w:spacing w:after="120"/>
              <w:rPr>
                <w:sz w:val="18"/>
                <w:szCs w:val="18"/>
              </w:rPr>
            </w:pPr>
            <w:r>
              <w:rPr>
                <w:sz w:val="18"/>
                <w:szCs w:val="18"/>
              </w:rPr>
              <w:t xml:space="preserve">My Port Phillip </w:t>
            </w:r>
          </w:p>
          <w:p>
            <w:pPr>
              <w:numPr>
                <w:ilvl w:val="0"/>
                <w:numId w:val="112"/>
              </w:numPr>
              <w:spacing w:after="120"/>
              <w:rPr>
                <w:sz w:val="18"/>
                <w:szCs w:val="18"/>
              </w:rPr>
            </w:pPr>
            <w:r>
              <w:rPr>
                <w:sz w:val="18"/>
                <w:szCs w:val="18"/>
              </w:rPr>
              <w:t xml:space="preserve">ASSIST </w:t>
            </w:r>
          </w:p>
          <w:p>
            <w:pPr>
              <w:numPr>
                <w:ilvl w:val="0"/>
                <w:numId w:val="112"/>
              </w:numPr>
              <w:spacing w:after="120"/>
              <w:rPr>
                <w:sz w:val="18"/>
                <w:szCs w:val="18"/>
              </w:rPr>
            </w:pPr>
            <w:r>
              <w:rPr>
                <w:sz w:val="18"/>
                <w:szCs w:val="18"/>
              </w:rPr>
              <w:t xml:space="preserve">Do not use request helpdesk </w:t>
            </w:r>
          </w:p>
          <w:p>
            <w:pPr>
              <w:spacing w:after="120"/>
              <w:rPr>
                <w:sz w:val="18"/>
                <w:szCs w:val="18"/>
              </w:rPr>
            </w:pPr>
          </w:p>
        </w:tc>
      </w:tr>
      <w:tr>
        <w:trPr>
          <w:jc w:val="center"/>
        </w:trPr>
        <w:tc>
          <w:tcPr>
            <w:tcW w:w="1353" w:type="dxa"/>
            <w:vMerge w:val="restart"/>
            <w:shd w:val="clear" w:color="auto" w:fill="E7E6E6"/>
          </w:tcPr>
          <w:p>
            <w:pPr>
              <w:spacing w:after="120"/>
              <w:rPr>
                <w:b/>
                <w:sz w:val="18"/>
                <w:szCs w:val="18"/>
              </w:rPr>
            </w:pPr>
            <w:r>
              <w:rPr>
                <w:b/>
                <w:sz w:val="18"/>
                <w:szCs w:val="18"/>
              </w:rPr>
              <w:t>Requests for time sensitive or urgent Advice</w:t>
            </w:r>
          </w:p>
          <w:p>
            <w:pPr>
              <w:spacing w:after="120"/>
              <w:rPr>
                <w:b/>
                <w:sz w:val="18"/>
                <w:szCs w:val="18"/>
              </w:rPr>
            </w:pPr>
            <w:r>
              <w:rPr>
                <w:b/>
                <w:sz w:val="18"/>
                <w:szCs w:val="18"/>
              </w:rPr>
              <w:t xml:space="preserve">(See Section 6.5)</w:t>
            </w:r>
          </w:p>
          <w:p>
            <w:pPr>
              <w:spacing w:before="40" w:after="40" w:line="240" w:lineRule="auto"/>
              <w:rPr>
                <w:sz w:val="18"/>
                <w:szCs w:val="18"/>
              </w:rPr>
            </w:pPr>
          </w:p>
          <w:p>
            <w:pPr>
              <w:spacing w:before="40" w:after="40" w:line="240" w:lineRule="auto"/>
              <w:rPr>
                <w:sz w:val="18"/>
                <w:szCs w:val="18"/>
              </w:rPr>
            </w:pPr>
          </w:p>
          <w:p>
            <w:pPr>
              <w:spacing w:before="40" w:after="40" w:line="240" w:lineRule="auto"/>
              <w:rPr>
                <w:sz w:val="18"/>
                <w:szCs w:val="18"/>
              </w:rPr>
            </w:pPr>
          </w:p>
          <w:p>
            <w:pPr>
              <w:spacing w:before="40" w:after="40" w:line="240" w:lineRule="auto"/>
              <w:rPr>
                <w:b/>
                <w:sz w:val="18"/>
                <w:szCs w:val="18"/>
              </w:rPr>
            </w:pPr>
          </w:p>
          <w:p>
            <w:pPr>
              <w:spacing w:before="40" w:after="40" w:line="240" w:lineRule="auto"/>
              <w:rPr>
                <w:sz w:val="18"/>
                <w:szCs w:val="18"/>
              </w:rPr>
            </w:pPr>
          </w:p>
          <w:p>
            <w:pPr>
              <w:spacing w:before="40" w:after="40" w:line="240" w:lineRule="auto"/>
              <w:rPr>
                <w:b/>
                <w:sz w:val="18"/>
                <w:szCs w:val="18"/>
              </w:rPr>
            </w:pPr>
          </w:p>
          <w:p>
            <w:pPr>
              <w:spacing w:before="40" w:after="40" w:line="240" w:lineRule="auto"/>
              <w:rPr>
                <w:b/>
                <w:sz w:val="18"/>
                <w:szCs w:val="18"/>
              </w:rPr>
            </w:pPr>
          </w:p>
          <w:p>
            <w:pPr>
              <w:spacing w:before="40" w:after="40" w:line="240" w:lineRule="auto"/>
              <w:rPr>
                <w:b/>
                <w:sz w:val="18"/>
                <w:szCs w:val="18"/>
              </w:rPr>
            </w:pPr>
          </w:p>
          <w:p>
            <w:pPr>
              <w:spacing w:before="40" w:after="40" w:line="240" w:lineRule="auto"/>
              <w:jc w:val="center"/>
              <w:rPr>
                <w:sz w:val="18"/>
                <w:szCs w:val="18"/>
              </w:rPr>
            </w:pPr>
          </w:p>
        </w:tc>
        <w:tc>
          <w:tcPr>
            <w:tcW w:w="2584" w:type="dxa"/>
            <w:shd w:val="clear" w:color="auto" w:fill="E7E6E6"/>
          </w:tcPr>
          <w:p>
            <w:pPr>
              <w:spacing w:after="120"/>
              <w:rPr>
                <w:b/>
                <w:sz w:val="18"/>
                <w:szCs w:val="18"/>
              </w:rPr>
            </w:pPr>
            <w:r>
              <w:rPr>
                <w:b/>
                <w:sz w:val="18"/>
                <w:szCs w:val="18"/>
              </w:rPr>
              <w:t>Operational (Urgent)</w:t>
            </w:r>
          </w:p>
          <w:p>
            <w:pPr>
              <w:spacing w:after="120"/>
              <w:rPr>
                <w:sz w:val="18"/>
                <w:szCs w:val="18"/>
              </w:rPr>
            </w:pPr>
            <w:r>
              <w:rPr>
                <w:sz w:val="18"/>
                <w:szCs w:val="18"/>
              </w:rPr>
              <w:t>Immediate safety risk or urgent operational hazard requiring action within hours.</w:t>
            </w:r>
          </w:p>
        </w:tc>
        <w:tc>
          <w:tcPr>
            <w:tcW w:w="2575" w:type="dxa"/>
            <w:shd w:val="clear" w:color="auto" w:fill="E7E6E6"/>
          </w:tcPr>
          <w:p>
            <w:pPr>
              <w:spacing w:after="120"/>
              <w:rPr>
                <w:sz w:val="18"/>
                <w:szCs w:val="18"/>
              </w:rPr>
            </w:pPr>
            <w:r>
              <w:rPr>
                <w:sz w:val="18"/>
                <w:szCs w:val="18"/>
              </w:rPr>
              <w:t>Councillor wanting to report unsafe structure, serious vandalism creating danger, large unpermitted gathering creating safety risk.</w:t>
            </w:r>
          </w:p>
        </w:tc>
        <w:tc>
          <w:tcPr>
            <w:tcW w:w="3258" w:type="dxa"/>
            <w:shd w:val="clear" w:color="auto" w:fill="E7E6E6"/>
          </w:tcPr>
          <w:p>
            <w:pPr>
              <w:spacing w:after="120"/>
              <w:rPr>
                <w:sz w:val="18"/>
                <w:szCs w:val="18"/>
              </w:rPr>
            </w:pPr>
            <w:r>
              <w:rPr>
                <w:sz w:val="18"/>
                <w:szCs w:val="18"/>
              </w:rPr>
              <w:t>If immediate threat to safety: call 000. Otherwise contact ASSIST for urgent hazard triage/dispatch. Provide exact location, photos if available, and a short description of the risk/urgency.</w:t>
            </w:r>
          </w:p>
        </w:tc>
      </w:tr>
      <w:tr>
        <w:trPr>
          <w:jc w:val="center"/>
        </w:trPr>
        <w:tc>
          <w:tcPr>
            <w:tcW w:w="1353" w:type="dxa"/>
            <w:vMerge/>
            <w:shd w:val="clear" w:color="auto" w:fill="E7E6E6"/>
          </w:tcPr>
          <w:p>
            <w:pPr>
              <w:spacing w:after="120"/>
              <w:rPr>
                <w:sz w:val="18"/>
                <w:szCs w:val="18"/>
              </w:rPr>
            </w:pPr>
          </w:p>
        </w:tc>
        <w:tc>
          <w:tcPr>
            <w:tcW w:w="2584" w:type="dxa"/>
            <w:shd w:val="clear" w:color="auto" w:fill="E7E6E6"/>
          </w:tcPr>
          <w:p>
            <w:pPr>
              <w:spacing w:after="120"/>
              <w:rPr>
                <w:b/>
                <w:sz w:val="18"/>
                <w:szCs w:val="18"/>
              </w:rPr>
            </w:pPr>
            <w:r>
              <w:rPr>
                <w:b/>
                <w:sz w:val="18"/>
                <w:szCs w:val="18"/>
              </w:rPr>
              <w:t>Strategic (Urgent)</w:t>
            </w:r>
          </w:p>
          <w:p>
            <w:pPr>
              <w:spacing w:after="120"/>
              <w:rPr>
                <w:b/>
                <w:sz w:val="18"/>
                <w:szCs w:val="18"/>
              </w:rPr>
            </w:pPr>
            <w:r>
              <w:rPr>
                <w:sz w:val="18"/>
                <w:szCs w:val="18"/>
              </w:rPr>
              <w:t>High</w:t>
              <w:noBreakHyphen/>
              <w:t>importance issue requiring same</w:t>
              <w:noBreakHyphen/>
              <w:t>day coordination (confidential, reputational, media</w:t>
              <w:noBreakHyphen/>
              <w:t>sensitive, whole</w:t>
              <w:noBreakHyphen/>
              <w:t>of</w:t>
              <w:noBreakHyphen/>
              <w:t>organisation).</w:t>
            </w:r>
          </w:p>
        </w:tc>
        <w:tc>
          <w:tcPr>
            <w:tcW w:w="2575" w:type="dxa"/>
            <w:shd w:val="clear" w:color="auto" w:fill="E7E6E6"/>
          </w:tcPr>
          <w:p>
            <w:pPr>
              <w:spacing w:after="120"/>
              <w:rPr>
                <w:sz w:val="18"/>
                <w:szCs w:val="18"/>
              </w:rPr>
            </w:pPr>
            <w:r>
              <w:rPr>
                <w:sz w:val="18"/>
                <w:szCs w:val="18"/>
              </w:rPr>
              <w:t>Emerging reputational issue likely to attract media attention today.</w:t>
            </w:r>
          </w:p>
          <w:p>
            <w:pPr>
              <w:spacing w:after="120"/>
              <w:rPr>
                <w:sz w:val="18"/>
                <w:szCs w:val="18"/>
              </w:rPr>
            </w:pPr>
          </w:p>
        </w:tc>
        <w:tc>
          <w:tcPr>
            <w:tcW w:w="3258" w:type="dxa"/>
            <w:shd w:val="clear" w:color="auto" w:fill="E7E6E6"/>
          </w:tcPr>
          <w:p>
            <w:pPr>
              <w:spacing w:after="120"/>
              <w:rPr>
                <w:sz w:val="18"/>
                <w:szCs w:val="18"/>
              </w:rPr>
            </w:pPr>
            <w:r>
              <w:rPr>
                <w:sz w:val="18"/>
                <w:szCs w:val="18"/>
              </w:rPr>
              <w:t xml:space="preserve">Contact the relevant GM as the primary escalation point. Escalate to CEO only if criteria in Section 8.6.3 are met. If media is involved, ensure the matter is referred to Coordinator Media as per Section 6.5.</w:t>
            </w:r>
          </w:p>
        </w:tc>
      </w:tr>
      <w:tr>
        <w:trPr>
          <w:jc w:val="center"/>
        </w:trPr>
        <w:tc>
          <w:tcPr>
            <w:tcW w:w="1353" w:type="dxa"/>
            <w:vMerge/>
            <w:shd w:val="clear" w:color="auto" w:fill="E7E6E6"/>
          </w:tcPr>
          <w:p>
            <w:pPr>
              <w:spacing w:after="120"/>
              <w:rPr>
                <w:sz w:val="18"/>
                <w:szCs w:val="18"/>
              </w:rPr>
            </w:pPr>
          </w:p>
        </w:tc>
        <w:tc>
          <w:tcPr>
            <w:tcW w:w="2584" w:type="dxa"/>
            <w:shd w:val="clear" w:color="auto" w:fill="E7E6E6"/>
          </w:tcPr>
          <w:p>
            <w:pPr>
              <w:spacing w:after="120"/>
              <w:rPr>
                <w:b/>
                <w:sz w:val="18"/>
                <w:szCs w:val="18"/>
              </w:rPr>
            </w:pPr>
            <w:r>
              <w:rPr>
                <w:b/>
                <w:sz w:val="18"/>
                <w:szCs w:val="18"/>
              </w:rPr>
              <w:t xml:space="preserve">Time sensitive </w:t>
            </w:r>
          </w:p>
          <w:p>
            <w:pPr>
              <w:spacing w:after="120"/>
              <w:rPr>
                <w:sz w:val="18"/>
                <w:szCs w:val="18"/>
              </w:rPr>
            </w:pPr>
            <w:r>
              <w:rPr>
                <w:sz w:val="18"/>
                <w:szCs w:val="18"/>
              </w:rPr>
              <w:t xml:space="preserve">Requires response in 1–3 business days (deadline, critical commitment, imminent community/media impact).</w:t>
            </w:r>
          </w:p>
        </w:tc>
        <w:tc>
          <w:tcPr>
            <w:tcW w:w="2575" w:type="dxa"/>
            <w:shd w:val="clear" w:color="auto" w:fill="E7E6E6"/>
          </w:tcPr>
          <w:p>
            <w:pPr>
              <w:spacing w:after="120"/>
              <w:rPr>
                <w:sz w:val="18"/>
                <w:szCs w:val="18"/>
              </w:rPr>
            </w:pPr>
            <w:r>
              <w:rPr>
                <w:sz w:val="18"/>
                <w:szCs w:val="18"/>
              </w:rPr>
              <w:t>Councillor needs factual confirmation for a scheduled stakeholder meeting occurring 72 hours.</w:t>
            </w:r>
          </w:p>
          <w:p>
            <w:pPr>
              <w:spacing w:after="120"/>
              <w:rPr>
                <w:sz w:val="18"/>
                <w:szCs w:val="18"/>
              </w:rPr>
            </w:pPr>
          </w:p>
        </w:tc>
        <w:tc>
          <w:tcPr>
            <w:tcW w:w="3258" w:type="dxa"/>
            <w:shd w:val="clear" w:color="auto" w:fill="E7E6E6"/>
          </w:tcPr>
          <w:p>
            <w:pPr>
              <w:spacing w:after="120"/>
              <w:rPr>
                <w:sz w:val="18"/>
                <w:szCs w:val="18"/>
              </w:rPr>
            </w:pPr>
            <w:r>
              <w:rPr>
                <w:sz w:val="18"/>
                <w:szCs w:val="18"/>
              </w:rPr>
              <w:t xml:space="preserve">Use the standard pathway and clearly state the required response date/time and why it is time-sensitive.</w:t>
            </w:r>
          </w:p>
          <w:p>
            <w:pPr>
              <w:spacing w:after="120"/>
              <w:rPr>
                <w:sz w:val="18"/>
                <w:szCs w:val="18"/>
              </w:rPr>
            </w:pPr>
          </w:p>
        </w:tc>
      </w:tr>
      <w:tr>
        <w:trPr>
          <w:jc w:val="center"/>
        </w:trPr>
        <w:tc>
          <w:tcPr>
            <w:tcW w:w="1353" w:type="dxa"/>
          </w:tcPr>
          <w:p>
            <w:pPr>
              <w:spacing w:after="120"/>
              <w:rPr>
                <w:b/>
                <w:sz w:val="18"/>
                <w:szCs w:val="18"/>
              </w:rPr>
            </w:pPr>
            <w:r>
              <w:rPr>
                <w:b/>
                <w:sz w:val="18"/>
                <w:szCs w:val="18"/>
              </w:rPr>
              <w:t>Requests for direct Support Pathways</w:t>
            </w:r>
          </w:p>
          <w:p>
            <w:pPr>
              <w:spacing w:after="120"/>
              <w:rPr>
                <w:sz w:val="18"/>
                <w:szCs w:val="18"/>
              </w:rPr>
            </w:pPr>
            <w:r>
              <w:rPr>
                <w:i/>
                <w:sz w:val="18"/>
                <w:szCs w:val="18"/>
              </w:rPr>
              <w:t xml:space="preserve">(see Section 6.6, Table 1)</w:t>
            </w:r>
          </w:p>
          <w:p>
            <w:pPr>
              <w:spacing w:after="120"/>
              <w:rPr>
                <w:sz w:val="18"/>
                <w:szCs w:val="18"/>
              </w:rPr>
            </w:pPr>
          </w:p>
        </w:tc>
        <w:tc>
          <w:tcPr>
            <w:tcW w:w="2584" w:type="dxa"/>
          </w:tcPr>
          <w:p>
            <w:pPr>
              <w:spacing w:after="120"/>
              <w:rPr>
                <w:sz w:val="18"/>
                <w:szCs w:val="18"/>
              </w:rPr>
            </w:pPr>
            <w:r>
              <w:rPr>
                <w:sz w:val="18"/>
                <w:szCs w:val="18"/>
              </w:rPr>
              <w:t>Guidance or assistance that falls outside standard information/advice requests and service requests (e.g. governance process support, conflicts of interest queries, meeting procedure guidance, IT access/technical help).</w:t>
            </w:r>
          </w:p>
        </w:tc>
        <w:tc>
          <w:tcPr>
            <w:tcW w:w="2575" w:type="dxa"/>
          </w:tcPr>
          <w:p>
            <w:pPr>
              <w:spacing w:after="120"/>
              <w:rPr>
                <w:sz w:val="18"/>
                <w:szCs w:val="18"/>
              </w:rPr>
            </w:pPr>
            <w:r>
              <w:rPr>
                <w:sz w:val="18"/>
                <w:szCs w:val="18"/>
              </w:rPr>
              <w:t>A Councillor needs advice on a conflict of interest in advance of a meeting; or has an urgent laptop/M365 access issue; or needs help understanding the correct process for a Notice of Motion or Council Meeting procedure.</w:t>
            </w:r>
          </w:p>
        </w:tc>
        <w:tc>
          <w:tcPr>
            <w:tcW w:w="3258" w:type="dxa"/>
          </w:tcPr>
          <w:p>
            <w:pPr>
              <w:spacing w:after="120"/>
              <w:rPr>
                <w:sz w:val="18"/>
                <w:szCs w:val="18"/>
              </w:rPr>
            </w:pPr>
            <w:r>
              <w:rPr>
                <w:sz w:val="18"/>
                <w:szCs w:val="18"/>
              </w:rPr>
              <w:t xml:space="preserve">Use Table 1 – Contact Matrix (Section 6.6) to identify the correct support area. Helpdesk lodgement is not required unless the matter becomes an information/advice request under Section 6.3.</w:t>
            </w:r>
          </w:p>
          <w:p>
            <w:pPr>
              <w:spacing w:after="120"/>
              <w:rPr>
                <w:sz w:val="18"/>
                <w:szCs w:val="18"/>
              </w:rPr>
            </w:pPr>
          </w:p>
        </w:tc>
      </w:tr>
    </w:tbl>
    <w:p>
      <w:pPr>
        <w:pStyle w:val="Heading2"/>
      </w:pPr>
      <w:r>
        <w:t xml:space="preserve">Rules that apply to all Councillor requests</w:t>
      </w:r>
    </w:p>
    <w:p>
      <w:pPr>
        <w:numPr>
          <w:ilvl w:val="2"/>
          <w:numId w:val="2"/>
        </w:numPr>
        <w:ind w:left="1418" w:hanging="709"/>
        <w:rPr/>
      </w:pPr>
      <w:r>
        <w:rPr/>
        <w:t>Councillor requests should be clear, role</w:t>
        <w:noBreakHyphen/>
        <w:t>appropriate, and use the correct channel.</w:t>
      </w:r>
    </w:p>
    <w:p>
      <w:pPr>
        <w:numPr>
          <w:ilvl w:val="2"/>
          <w:numId w:val="2"/>
        </w:numPr>
        <w:ind w:left="1418" w:hanging="709"/>
        <w:rPr/>
      </w:pPr>
      <w:r>
        <w:rPr/>
        <w:t>Requests should state:</w:t>
      </w:r>
    </w:p>
    <w:p>
      <w:pPr>
        <w:numPr>
          <w:ilvl w:val="3"/>
          <w:numId w:val="2"/>
        </w:numPr>
        <w:ind w:left="1985" w:hanging="567"/>
        <w:rPr/>
      </w:pPr>
      <w:r>
        <w:rPr/>
        <w:t xml:space="preserve">what is being requested;</w:t>
      </w:r>
    </w:p>
    <w:p>
      <w:pPr>
        <w:numPr>
          <w:ilvl w:val="3"/>
          <w:numId w:val="2"/>
        </w:numPr>
        <w:ind w:left="1985" w:hanging="567"/>
        <w:rPr/>
      </w:pPr>
      <w:r>
        <w:rPr/>
        <w:t>why it is requested (governance/oversight/community representation); and</w:t>
      </w:r>
    </w:p>
    <w:p>
      <w:pPr>
        <w:numPr>
          <w:ilvl w:val="3"/>
          <w:numId w:val="2"/>
        </w:numPr>
        <w:ind w:left="1985" w:hanging="567"/>
        <w:rPr/>
      </w:pPr>
      <w:r>
        <w:rPr/>
        <w:t>the required timeframe (and why, if time</w:t>
        <w:noBreakHyphen/>
        <w:t>sensitive).</w:t>
      </w:r>
    </w:p>
    <w:p>
      <w:pPr>
        <w:numPr>
          <w:ilvl w:val="2"/>
          <w:numId w:val="2"/>
        </w:numPr>
        <w:ind w:left="1418" w:hanging="709"/>
        <w:rPr/>
      </w:pPr>
      <w:r>
        <w:rPr/>
        <w:t xml:space="preserve">Councillors should be mindful of officer time and operational impacts, and avoid requests that unreasonably divert resources from business-as-usual operations.</w:t>
      </w:r>
    </w:p>
    <w:p>
      <w:pPr>
        <w:numPr>
          <w:ilvl w:val="2"/>
          <w:numId w:val="2"/>
        </w:numPr>
        <w:ind w:left="1418" w:hanging="709"/>
        <w:rPr/>
      </w:pPr>
      <w:r>
        <w:rPr/>
        <w:t xml:space="preserve">Councillors should consider the appropriate timing of logging requests to ensure service levels are able to be maintained i.e. sending requests as they are received rather than batched all together. </w:t>
      </w:r>
    </w:p>
    <w:p>
      <w:pPr>
        <w:numPr>
          <w:ilvl w:val="2"/>
          <w:numId w:val="2"/>
        </w:numPr>
        <w:ind w:left="1418" w:hanging="709"/>
        <w:rPr/>
      </w:pPr>
      <w:r>
        <w:rPr/>
        <w:t xml:space="preserve">If a councillor is submitting a large volume of requests, a customised arrangement may be put in place to ensure service levels are able to be maintained. </w:t>
      </w:r>
    </w:p>
    <w:p>
      <w:pPr>
        <w:numPr>
          <w:ilvl w:val="2"/>
          <w:numId w:val="2"/>
        </w:numPr>
        <w:ind w:left="1418" w:hanging="709"/>
        <w:rPr/>
      </w:pPr>
      <w:r>
        <w:rPr/>
        <w:t>Councillors should contact officers within business hours unless the matter is urgent or time critical as defined in Section 6.5.</w:t>
      </w:r>
    </w:p>
    <w:p>
      <w:pPr>
        <w:numPr>
          <w:ilvl w:val="2"/>
          <w:numId w:val="2"/>
        </w:numPr>
        <w:ind w:left="1418" w:hanging="709"/>
        <w:rPr/>
      </w:pPr>
      <w:r>
        <w:rPr/>
        <w:t>Council will ensure that advice or information provided to a Councillor that could reasonably be perceived to materially inform Council decision-making is shared appropriately with all Councillors, subject to confidentiality and legal constraints.</w:t>
      </w:r>
    </w:p>
    <w:p>
      <w:pPr>
        <w:pStyle w:val="Heading2"/>
      </w:pPr>
      <w:r>
        <w:t xml:space="preserve">Information or advice requests</w:t>
      </w:r>
    </w:p>
    <w:p>
      <w:pPr>
        <w:numPr>
          <w:ilvl w:val="2"/>
          <w:numId w:val="2"/>
        </w:numPr>
        <w:ind w:left="1418" w:hanging="709"/>
        <w:rPr/>
      </w:pPr>
      <w:r>
        <w:rPr/>
        <w:t>Information/advice requests are intended to support Councillors to understand Council matters, perform governance functions, and make informed decisions. They are not intended to manage operations.</w:t>
      </w:r>
    </w:p>
    <w:p>
      <w:pPr>
        <w:numPr>
          <w:ilvl w:val="2"/>
          <w:numId w:val="2"/>
        </w:numPr>
        <w:ind w:left="1418" w:hanging="709"/>
        <w:rPr/>
      </w:pPr>
      <w:r>
        <w:rPr/>
        <w:t>Before lodging an information/advice request, Councillors should consider:</w:t>
      </w:r>
    </w:p>
    <w:p>
      <w:pPr>
        <w:numPr>
          <w:ilvl w:val="3"/>
          <w:numId w:val="2"/>
        </w:numPr>
        <w:ind w:left="1985" w:hanging="567"/>
        <w:rPr/>
      </w:pPr>
      <w:r>
        <w:rPr/>
        <w:t>Why do I need this information? (decision, oversight, policy, community representation)</w:t>
      </w:r>
    </w:p>
    <w:p>
      <w:pPr>
        <w:numPr>
          <w:ilvl w:val="3"/>
          <w:numId w:val="2"/>
        </w:numPr>
        <w:ind w:left="1985" w:hanging="567"/>
        <w:rPr/>
      </w:pPr>
      <w:r>
        <w:rPr/>
        <w:t>Is it within my role as a Councillor? (governance/strategy vs operational management)</w:t>
      </w:r>
    </w:p>
    <w:p>
      <w:pPr>
        <w:numPr>
          <w:ilvl w:val="3"/>
          <w:numId w:val="2"/>
        </w:numPr>
        <w:ind w:left="1985" w:hanging="567"/>
        <w:rPr/>
      </w:pPr>
      <w:r>
        <w:rPr/>
        <w:t>Is it already available? (existing reports, Council papers, published information)</w:t>
      </w:r>
    </w:p>
    <w:p>
      <w:pPr>
        <w:numPr>
          <w:ilvl w:val="3"/>
          <w:numId w:val="2"/>
        </w:numPr>
        <w:ind w:left="1985" w:hanging="567"/>
        <w:rPr/>
      </w:pPr>
      <w:r>
        <w:rPr/>
        <w:t>How much officer time will it require, and is it reasonable?</w:t>
      </w:r>
    </w:p>
    <w:p>
      <w:pPr>
        <w:numPr>
          <w:ilvl w:val="2"/>
          <w:numId w:val="2"/>
        </w:numPr>
        <w:ind w:left="1418" w:hanging="709"/>
        <w:rPr/>
      </w:pPr>
      <w:r>
        <w:rPr/>
        <w:t xml:space="preserve">If a request for information is deemed to unreasonably divert resources from business-as-usual operations, Councillor must seek consensus from the Councillor group before the request for information will be actioned. </w:t>
      </w:r>
    </w:p>
    <w:p>
      <w:pPr>
        <w:numPr>
          <w:ilvl w:val="2"/>
          <w:numId w:val="2"/>
        </w:numPr>
        <w:ind w:left="1418" w:hanging="709"/>
        <w:rPr/>
      </w:pPr>
      <w:r>
        <w:rPr/>
        <w:t xml:space="preserve">Lodgement pathway: </w:t>
      </w:r>
    </w:p>
    <w:p>
      <w:pPr>
        <w:widowControl w:val="0"/>
        <w:tabs>
          <w:tab w:val="left" w:pos="2125"/>
        </w:tabs>
        <w:autoSpaceDE w:val="0"/>
        <w:autoSpaceDN w:val="0"/>
        <w:spacing w:after="120" w:line="240" w:lineRule="auto"/>
        <w:ind w:left="1429" w:right="410"/>
        <w:contextualSpacing w:val="0"/>
        <w:rPr/>
      </w:pPr>
      <w:r>
        <w:rPr/>
        <w:t xml:space="preserve">- Email the Councillor Request Helpdesk (helpdeskcouncilreq@portphillip.vic.gov.au) so the request can be logged, tracked and reported. Note: This email address is not to be shared with members of the general public.</w:t>
      </w:r>
    </w:p>
    <w:p>
      <w:pPr>
        <w:widowControl w:val="0"/>
        <w:tabs>
          <w:tab w:val="left" w:pos="2125"/>
        </w:tabs>
        <w:autoSpaceDE w:val="0"/>
        <w:autoSpaceDN w:val="0"/>
        <w:spacing w:after="120" w:line="240" w:lineRule="auto"/>
        <w:ind w:left="1429" w:right="410"/>
        <w:contextualSpacing w:val="0"/>
        <w:rPr/>
      </w:pPr>
      <w:r>
        <w:rPr/>
        <w:t xml:space="preserve">- Copy the relevant Manager if known (If a Councillor is unsure which manager/officers responsible, the Councillor may email the Councillor Request Helpdesk, which will triage and forward to the appropriate GM)</w:t>
      </w:r>
    </w:p>
    <w:p>
      <w:pPr>
        <w:numPr>
          <w:ilvl w:val="2"/>
          <w:numId w:val="2"/>
        </w:numPr>
        <w:ind w:left="1418" w:hanging="709"/>
        <w:rPr/>
      </w:pPr>
      <w:r>
        <w:rPr/>
        <w:t xml:space="preserve">Copying additional managers or officers does not replace the required pathway and does not change prioritisation or response timeframes. </w:t>
      </w:r>
    </w:p>
    <w:p>
      <w:pPr>
        <w:numPr>
          <w:ilvl w:val="2"/>
          <w:numId w:val="2"/>
        </w:numPr>
        <w:ind w:left="1418" w:hanging="709"/>
        <w:rPr/>
      </w:pPr>
      <w:r>
        <w:rPr/>
        <w:t>Logging and triage: Requests copied to (or received by) the Councillor Request Helpdesk are logged and triaged within 1 business day, then allocated to the responsible GM/area.</w:t>
      </w:r>
    </w:p>
    <w:p>
      <w:pPr>
        <w:numPr>
          <w:ilvl w:val="2"/>
          <w:numId w:val="2"/>
        </w:numPr>
        <w:ind w:left="1418" w:hanging="709"/>
        <w:rPr/>
      </w:pPr>
      <w:r>
        <w:rPr/>
        <w:t>Response timeframes (targets):</w:t>
      </w:r>
    </w:p>
    <w:p>
      <w:pPr>
        <w:numPr>
          <w:ilvl w:val="3"/>
          <w:numId w:val="2"/>
        </w:numPr>
        <w:ind w:left="1985" w:hanging="567"/>
        <w:rPr/>
      </w:pPr>
      <w:r>
        <w:rPr/>
        <w:t xml:space="preserve">Standard requests: response within 5 business days from logging;</w:t>
      </w:r>
    </w:p>
    <w:p>
      <w:pPr>
        <w:numPr>
          <w:ilvl w:val="3"/>
          <w:numId w:val="2"/>
        </w:numPr>
        <w:ind w:left="1985" w:hanging="567"/>
        <w:rPr/>
      </w:pPr>
      <w:r>
        <w:rPr/>
        <w:t xml:space="preserve">Complex requests: response within 10 business days from logging. Complex</w:t>
      </w:r>
      <w:r>
        <w:rPr>
          <w:b/>
          <w:bCs/>
        </w:rPr>
        <w:t xml:space="preserve"> </w:t>
      </w:r>
      <w:r>
        <w:rPr/>
        <w:t>requests include those requiring analysis, collation across multiple areas/systems, or legal/privacy review.</w:t>
      </w:r>
    </w:p>
    <w:p>
      <w:pPr>
        <w:numPr>
          <w:ilvl w:val="3"/>
          <w:numId w:val="2"/>
        </w:numPr>
        <w:ind w:left="1985" w:hanging="567"/>
        <w:rPr/>
      </w:pPr>
      <w:r>
        <w:rPr/>
        <w:t>If a timeframe cannot be met, Council will provide an interim update and a revised timeframe.</w:t>
      </w:r>
    </w:p>
    <w:p>
      <w:pPr>
        <w:numPr>
          <w:ilvl w:val="2"/>
          <w:numId w:val="2"/>
        </w:numPr>
        <w:ind w:left="1418" w:hanging="709"/>
        <w:rPr/>
      </w:pPr>
      <w:r>
        <w:rPr/>
        <w:t xml:space="preserve">Where a matter could reasonably be perceived to materially inform Council decision-making, Council officers may share the information appropriately with all Councillors, subject to confidentiality and legal constraints (Section 6.2.5).</w:t>
      </w:r>
    </w:p>
    <w:p>
      <w:pPr>
        <w:numPr>
          <w:ilvl w:val="2"/>
          <w:numId w:val="2"/>
        </w:numPr>
        <w:ind w:left="1418" w:hanging="709"/>
        <w:rPr/>
      </w:pPr>
      <w:r>
        <w:rPr/>
        <w:t>Councillors may seek clarification on a response via email exchange with the responding officer, provided the relevant GM/Manager (as applicable) and the Councillor Request Helpdesk remain copied to maintain transparency and records.</w:t>
      </w:r>
    </w:p>
    <w:p>
      <w:pPr>
        <w:numPr>
          <w:ilvl w:val="2"/>
          <w:numId w:val="2"/>
        </w:numPr>
        <w:ind w:left="1418" w:hanging="709"/>
        <w:rPr/>
      </w:pPr>
      <w:r>
        <w:rPr/>
        <w:t>If a Councillor considers that an information/advice request has not been adequately addressed, escalation should follow Section 8.6 (Escalation ladder).</w:t>
      </w:r>
    </w:p>
    <w:p>
      <w:pPr>
        <w:pStyle w:val="Heading2"/>
      </w:pPr>
      <w:r>
        <w:t xml:space="preserve">Service requests </w:t>
      </w:r>
    </w:p>
    <w:p>
      <w:pPr>
        <w:numPr>
          <w:ilvl w:val="2"/>
          <w:numId w:val="2"/>
        </w:numPr>
        <w:ind w:left="1418" w:hanging="709"/>
        <w:rPr/>
      </w:pPr>
      <w:r>
        <w:rPr/>
        <w:t>A service request relates to an operational element of Council work. Councillors must be mindful of the Councillor Code of Conduct and the Act, including the prohibition on directing staff or exerting undue influence.</w:t>
      </w:r>
    </w:p>
    <w:p>
      <w:pPr>
        <w:numPr>
          <w:ilvl w:val="2"/>
          <w:numId w:val="2"/>
        </w:numPr>
        <w:ind w:left="1418" w:hanging="709"/>
        <w:rPr/>
      </w:pPr>
      <w:r>
        <w:rPr/>
        <w:t xml:space="preserve">Councillors should lodge service requests via frontline channels:</w:t>
      </w:r>
    </w:p>
    <w:p>
      <w:pPr>
        <w:numPr>
          <w:ilvl w:val="3"/>
          <w:numId w:val="2"/>
        </w:numPr>
        <w:ind w:left="1985" w:hanging="567"/>
        <w:rPr/>
      </w:pPr>
      <w:r>
        <w:rPr/>
        <w:t>Snap Send Solve (preferred where applicable); or</w:t>
      </w:r>
    </w:p>
    <w:p>
      <w:pPr>
        <w:numPr>
          <w:ilvl w:val="3"/>
          <w:numId w:val="2"/>
        </w:numPr>
        <w:ind w:left="1985" w:hanging="567"/>
        <w:rPr/>
      </w:pPr>
      <w:r>
        <w:rPr/>
        <w:t>My Port Phillip customer portal; or</w:t>
      </w:r>
    </w:p>
    <w:p>
      <w:pPr>
        <w:numPr>
          <w:ilvl w:val="3"/>
          <w:numId w:val="2"/>
        </w:numPr>
        <w:ind w:left="1985" w:hanging="567"/>
        <w:rPr/>
      </w:pPr>
      <w:r>
        <w:rPr/>
        <w:t>ASSIST (phone) for service requests, hazards, or where digital channels are unsuitable.</w:t>
      </w:r>
    </w:p>
    <w:p>
      <w:pPr>
        <w:numPr>
          <w:ilvl w:val="2"/>
          <w:numId w:val="2"/>
        </w:numPr>
        <w:ind w:left="1418" w:hanging="709"/>
        <w:rPr/>
      </w:pPr>
      <w:r>
        <w:rPr/>
        <w:t>Councillors should not use the Councillor Request Helpdesk for service requests, as it is reserved for information/advice requests (Section 6.3).</w:t>
      </w:r>
    </w:p>
    <w:p>
      <w:pPr>
        <w:numPr>
          <w:ilvl w:val="2"/>
          <w:numId w:val="2"/>
        </w:numPr>
        <w:ind w:left="1418" w:hanging="709"/>
        <w:rPr/>
      </w:pPr>
      <w:r>
        <w:rPr/>
        <w:t>Where a resident contacts a Councillor as their first point of contact about an operational issue, Councillors are encouraged to direct the resident to the appropriate customer channel to ensure efficient triage and action. (Refer to the Practical Guide for suggested standard wording.)</w:t>
      </w:r>
    </w:p>
    <w:p>
      <w:pPr>
        <w:numPr>
          <w:ilvl w:val="2"/>
          <w:numId w:val="2"/>
        </w:numPr>
        <w:ind w:left="1418" w:hanging="709"/>
        <w:rPr/>
      </w:pPr>
      <w:r>
        <w:rPr/>
        <w:t>Councillors are not an escalation point for individual service issues and should not create any perception or promise of urgent, preferential, or favourable treatment. Where community members wish to make a complaint, Councillors should direct them to Council’s formal complaint process (Section 8.2).</w:t>
      </w:r>
    </w:p>
    <w:p>
      <w:pPr>
        <w:numPr>
          <w:ilvl w:val="2"/>
          <w:numId w:val="2"/>
        </w:numPr>
        <w:ind w:left="1418" w:hanging="709"/>
        <w:rPr/>
      </w:pPr>
      <w:r>
        <w:rPr/>
        <w:t>Where an urgent service issue presents a risk to public safety (e.g. unsafe building/worksite, unpermitted gathering creating safety risk), Councillors should contact ASSIST immediately or call 000 where there is an imminent threat (Section 6.5).</w:t>
      </w:r>
    </w:p>
    <w:p>
      <w:pPr>
        <w:pStyle w:val="Heading2"/>
      </w:pPr>
      <w:r>
        <w:t xml:space="preserve">Time-sensitive and urgent matters</w:t>
      </w:r>
    </w:p>
    <w:p>
      <w:pPr>
        <w:numPr>
          <w:ilvl w:val="2"/>
          <w:numId w:val="2"/>
        </w:numPr>
        <w:ind w:left="1418" w:hanging="709"/>
        <w:rPr/>
      </w:pPr>
      <w:r>
        <w:rPr/>
        <w:t>Definitions:</w:t>
      </w:r>
    </w:p>
    <w:p>
      <w:pPr>
        <w:numPr>
          <w:ilvl w:val="3"/>
          <w:numId w:val="2"/>
        </w:numPr>
        <w:ind w:left="1985" w:hanging="567"/>
        <w:rPr/>
      </w:pPr>
      <w:r>
        <w:rPr/>
        <w:t>Urgent means a matter requiring action within hours to prevent or reduce risk to public safety, major service disruption, significant reputational risk, or legal/compliance risk.</w:t>
      </w:r>
    </w:p>
    <w:p>
      <w:pPr>
        <w:numPr>
          <w:ilvl w:val="3"/>
          <w:numId w:val="2"/>
        </w:numPr>
        <w:ind w:left="1985" w:hanging="567"/>
        <w:rPr/>
      </w:pPr>
      <w:r>
        <w:rPr/>
        <w:t>Time</w:t>
        <w:noBreakHyphen/>
        <w:t xml:space="preserve">sensitive means a matter requiring a response within 1–3 business days to meet a statutory deadline, critical stakeholder commitment, or imminent media/community impact.</w:t>
      </w:r>
    </w:p>
    <w:p>
      <w:pPr>
        <w:numPr>
          <w:ilvl w:val="2"/>
          <w:numId w:val="2"/>
        </w:numPr>
        <w:ind w:left="1418" w:hanging="709"/>
        <w:rPr/>
      </w:pPr>
      <w:r>
        <w:rPr/>
        <w:t>Public safety:</w:t>
      </w:r>
    </w:p>
    <w:p>
      <w:pPr>
        <w:numPr>
          <w:ilvl w:val="3"/>
          <w:numId w:val="2"/>
        </w:numPr>
        <w:ind w:left="1985" w:hanging="567"/>
        <w:rPr/>
      </w:pPr>
      <w:r>
        <w:rPr/>
        <w:t xml:space="preserve">If there is an imminent or immediate threat to public safety, Councillors must call </w:t>
        <w:t>000.</w:t>
      </w:r>
    </w:p>
    <w:p>
      <w:pPr>
        <w:numPr>
          <w:ilvl w:val="3"/>
          <w:numId w:val="2"/>
        </w:numPr>
        <w:ind w:left="1985" w:hanging="567"/>
        <w:rPr/>
      </w:pPr>
      <w:r>
        <w:rPr/>
        <w:t>For urgent hazards requiring Council response (but not an emergency), Councillors should contact ASSIST so the matter can be triaged and dispatched.</w:t>
      </w:r>
    </w:p>
    <w:p>
      <w:pPr>
        <w:numPr>
          <w:ilvl w:val="2"/>
          <w:numId w:val="2"/>
        </w:numPr>
        <w:ind w:left="1418" w:hanging="709"/>
        <w:rPr/>
      </w:pPr>
      <w:r>
        <w:rPr/>
        <w:t>Urgent operational matters (e.g. unsafe site conditions, serious vandalism of significant assets, major service failure):</w:t>
      </w:r>
    </w:p>
    <w:p>
      <w:pPr>
        <w:numPr>
          <w:ilvl w:val="3"/>
          <w:numId w:val="2"/>
        </w:numPr>
        <w:ind w:left="1985" w:hanging="567"/>
        <w:rPr/>
      </w:pPr>
      <w:r>
        <w:rPr/>
        <w:t>Contact ASSIST as first point of contact; and</w:t>
      </w:r>
    </w:p>
    <w:p>
      <w:pPr>
        <w:numPr>
          <w:ilvl w:val="3"/>
          <w:numId w:val="2"/>
        </w:numPr>
        <w:ind w:left="1985" w:hanging="567"/>
        <w:rPr/>
      </w:pPr>
      <w:r>
        <w:rPr/>
        <w:t>Provide exact location, photos if available, and a short description of risk/impact and urgency.</w:t>
      </w:r>
    </w:p>
    <w:p>
      <w:pPr>
        <w:numPr>
          <w:ilvl w:val="2"/>
          <w:numId w:val="2"/>
        </w:numPr>
        <w:ind w:left="1418" w:hanging="709"/>
        <w:rPr/>
      </w:pPr>
      <w:r>
        <w:rPr/>
        <w:t>Councillors should exercise judgement in determining whether a time</w:t>
        <w:noBreakHyphen/>
        <w:t xml:space="preserve">sensitive or urgent matter warrants notification of the relevant GM and/or CEO, having regard to the significance, risk, and potential organisational or reputational impact of the issue.</w:t>
      </w:r>
    </w:p>
    <w:p>
      <w:pPr>
        <w:numPr>
          <w:ilvl w:val="2"/>
          <w:numId w:val="2"/>
        </w:numPr>
        <w:ind w:left="1418" w:hanging="709"/>
        <w:rPr/>
      </w:pPr>
      <w:r>
        <w:rPr/>
        <w:t>Urgent strategic / reputational / confidential / media</w:t>
        <w:noBreakHyphen/>
        <w:t>sensitive matters:</w:t>
      </w:r>
    </w:p>
    <w:p>
      <w:pPr>
        <w:numPr>
          <w:ilvl w:val="3"/>
          <w:numId w:val="2"/>
        </w:numPr>
        <w:ind w:left="1985" w:hanging="567"/>
        <w:rPr/>
      </w:pPr>
      <w:r>
        <w:rPr/>
        <w:t>Contact the relevant GM as the primary escalation point; and</w:t>
      </w:r>
    </w:p>
    <w:p>
      <w:pPr>
        <w:numPr>
          <w:ilvl w:val="3"/>
          <w:numId w:val="2"/>
        </w:numPr>
        <w:ind w:left="1985" w:hanging="567"/>
        <w:rPr/>
      </w:pPr>
      <w:r>
        <w:rPr/>
        <w:t>Escalate to the CEO only where criteria in Section 8.6.3 are met.</w:t>
      </w:r>
    </w:p>
    <w:p>
      <w:pPr>
        <w:numPr>
          <w:ilvl w:val="2"/>
          <w:numId w:val="2"/>
        </w:numPr>
        <w:ind w:left="1418" w:hanging="709"/>
        <w:rPr/>
      </w:pPr>
      <w:r>
        <w:rPr/>
        <w:t>Time</w:t>
        <w:noBreakHyphen/>
        <w:t>sensitive matters: Use the standard pathway (Section 6.3 for information/advice; Section 6.4 for service) and clearly state:</w:t>
      </w:r>
    </w:p>
    <w:p>
      <w:pPr>
        <w:numPr>
          <w:ilvl w:val="3"/>
          <w:numId w:val="2"/>
        </w:numPr>
        <w:ind w:left="1985" w:hanging="567"/>
        <w:rPr/>
      </w:pPr>
      <w:r>
        <w:rPr/>
        <w:t>required response date/time; and</w:t>
      </w:r>
    </w:p>
    <w:p>
      <w:pPr>
        <w:numPr>
          <w:ilvl w:val="3"/>
          <w:numId w:val="2"/>
        </w:numPr>
        <w:ind w:left="1985" w:hanging="567"/>
        <w:rPr/>
      </w:pPr>
      <w:r>
        <w:rPr/>
        <w:t>why the matter is time</w:t>
        <w:noBreakHyphen/>
        <w:t>sensitive.</w:t>
      </w:r>
    </w:p>
    <w:p>
      <w:pPr>
        <w:numPr>
          <w:ilvl w:val="2"/>
          <w:numId w:val="2"/>
        </w:numPr>
        <w:ind w:left="1418" w:hanging="709"/>
        <w:rPr/>
      </w:pPr>
      <w:r>
        <w:rPr/>
        <w:t>Council will acknowledge time</w:t>
        <w:noBreakHyphen/>
        <w:t>sensitive requests as soon as practicable and advise whether the timeframe can be met. If not, Council will provide an alternative timeframe and, where possible, an interim update.</w:t>
      </w:r>
    </w:p>
    <w:p>
      <w:pPr>
        <w:pStyle w:val="Heading2"/>
      </w:pPr>
      <w:r>
        <w:t xml:space="preserve">Direct Support requests</w:t>
      </w:r>
    </w:p>
    <w:p>
      <w:pPr>
        <w:numPr>
          <w:ilvl w:val="2"/>
          <w:numId w:val="2"/>
        </w:numPr>
        <w:ind w:left="1418" w:hanging="709"/>
        <w:rPr/>
      </w:pPr>
      <w:r>
        <w:rPr/>
        <w:t>Some Councillor enquiries relate to governance, administrative or technical support, or are sensitive/urgent in nature, and do not fit within the standard “information/advice request” pathway (Section 6.3) or “service request” pathway (Section 6.4)</w:t>
      </w:r>
    </w:p>
    <w:p>
      <w:pPr>
        <w:numPr>
          <w:ilvl w:val="2"/>
          <w:numId w:val="2"/>
        </w:numPr>
        <w:ind w:left="1418" w:hanging="709"/>
        <w:rPr/>
      </w:pPr>
      <w:r>
        <w:rPr/>
        <w:t xml:space="preserve">Table 2 (Contact Matrix) provides guidance on how to route these ad hoc matters and identifies the roles that are appropriate and authorised to be contacted directly for such matters (e.g. governance process advice, conflicts of interest queries, Councillor administration, IT technical issues, media sensitivity, welfare/HR supports where applicable).</w:t>
      </w:r>
    </w:p>
    <w:p>
      <w:pPr>
        <w:numPr>
          <w:ilvl w:val="2"/>
          <w:numId w:val="2"/>
        </w:numPr>
        <w:ind w:left="1418" w:hanging="709"/>
        <w:rPr/>
      </w:pPr>
      <w:r>
        <w:rPr/>
        <w:t>For matters covered by this category, Councillors and officers may contact the relevant support role(s) in Table 1 directly and a Councillor Request Helpdesk lodgement is not required. If the matter becomes a request for information/advice to support decision-making or governance (as described in Section 6.3), it must be lodged via the Councillor Request Helpdesk.</w:t>
      </w:r>
    </w:p>
    <w:p>
      <w:pPr>
        <w:numPr>
          <w:ilvl w:val="2"/>
          <w:numId w:val="2"/>
        </w:numPr>
        <w:ind w:left="1418" w:hanging="709"/>
        <w:rPr/>
      </w:pPr>
      <w:r>
        <w:rPr/>
        <w:t>Advisory committees, reference groups, and events</w:t>
      </w:r>
    </w:p>
    <w:p>
      <w:pPr>
        <w:numPr>
          <w:ilvl w:val="3"/>
          <w:numId w:val="2"/>
        </w:numPr>
        <w:ind w:left="1985" w:hanging="567"/>
        <w:rPr/>
      </w:pPr>
      <w:r>
        <w:rPr/>
        <w:t>Officers supporting Council advisory committees/reference groups may contact the nominated Councillor delegate/sponsor for administrative matters (e.g. calendar entries, agendas/papers, logistics).</w:t>
      </w:r>
    </w:p>
    <w:p>
      <w:pPr>
        <w:numPr>
          <w:ilvl w:val="3"/>
          <w:numId w:val="2"/>
        </w:numPr>
        <w:ind w:left="1985" w:hanging="567"/>
        <w:rPr/>
      </w:pPr>
      <w:r>
        <w:rPr/>
        <w:t>Officers supporting Council-run festivals and events may interact with Councillors on the day to facilitate official roles (e.g. introductions with VIPs, wayfinding, timing and ceremonial instructions).</w:t>
      </w:r>
    </w:p>
    <w:p>
      <w:pPr>
        <w:numPr>
          <w:ilvl w:val="2"/>
          <w:numId w:val="2"/>
        </w:numPr>
        <w:ind w:left="1418" w:hanging="709"/>
        <w:rPr/>
      </w:pPr>
      <w:r>
        <w:rPr/>
        <w:t xml:space="preserve">Media requests: All media requests (journalist enquiries, interview requests, statements, publication intended background) should be referred to the Coordinator Media in the first instance, in accordance with Council’s Media Guidelines.</w:t>
      </w:r>
    </w:p>
    <w:p>
      <w:pPr>
        <w:numPr>
          <w:ilvl w:val="2"/>
          <w:numId w:val="2"/>
        </w:numPr>
        <w:ind w:left="1418" w:hanging="709"/>
        <w:rPr/>
      </w:pPr>
      <w:r>
        <w:rPr/>
        <w:t xml:space="preserve">Note: Table 2 supports direct contact for ad hoc governance/admin/IT and sensitive </w:t>
        <w:t>matters. It does not replace the standard pathways for information/advice requests (Section 6.3) or service requests and escalations (Sections 6.4 and 8.3)</w:t>
      </w:r>
    </w:p>
    <w:p>
      <w:pPr>
        <w:pageBreakBefore/>
        <w:widowControl w:val="0"/>
        <w:tabs>
          <w:tab w:val="left" w:pos="2125"/>
        </w:tabs>
        <w:autoSpaceDE w:val="0"/>
        <w:autoSpaceDN w:val="0"/>
        <w:spacing w:after="120" w:line="240" w:lineRule="auto"/>
        <w:ind w:right="410"/>
        <w:rPr>
          <w:b/>
          <w:bCs/>
        </w:rPr>
      </w:pPr>
      <w:r>
        <w:rPr>
          <w:b/>
          <w:bCs/>
        </w:rPr>
        <w:t xml:space="preserve">Table 2: Request for Support Contact Matrix </w:t>
      </w:r>
    </w:p>
    <w:tbl>
      <w:tblPr>
        <w:tblW w:w="9770" w:type="dxa"/>
        <w:tblInd w:w="-5" w:type="dxa"/>
        <w:tblBorders>
          <w:bottom w:val="single" w:sz="4" w:space="0" w:color="auto"/>
          <w:insideH w:val="single" w:sz="4" w:space="0" w:color="auto"/>
        </w:tblBorders>
        <w:tblLayout w:type="fixed"/>
        <w:tblCellMar>
          <w:top w:w="57" w:type="dxa"/>
          <w:left w:w="57" w:type="dxa"/>
          <w:bottom w:w="57" w:type="dxa"/>
          <w:right w:w="57" w:type="dxa"/>
        </w:tblCellMar>
        <w:tblLook w:val="01E0" w:firstRow="1" w:lastRow="1" w:firstColumn="1" w:lastColumn="1" w:noHBand="0" w:noVBand="0"/>
      </w:tblPr>
      <w:tblGrid>
        <w:gridCol w:w="6232"/>
        <w:gridCol w:w="930"/>
        <w:gridCol w:w="1051"/>
        <w:gridCol w:w="849"/>
        <w:gridCol w:w="708"/>
      </w:tblGrid>
      <w:tr>
        <w:trPr>
          <w:trHeight w:val="1931"/>
        </w:trPr>
        <w:tc>
          <w:tcPr>
            <w:tcW w:w="6232" w:type="dxa"/>
            <w:tcBorders>
              <w:bottom w:val="single" w:sz="4" w:space="0" w:color="auto"/>
            </w:tcBorders>
            <w:shd w:val="clear" w:color="auto" w:fill="FFFFFF"/>
            <w:vAlign w:val="bottom"/>
          </w:tcPr>
          <w:p>
            <w:pPr>
              <w:spacing w:after="120"/>
              <w:ind w:left="84"/>
              <w:rPr>
                <w:b/>
                <w:bCs/>
                <w:color w:val="007D8E"/>
                <w:spacing w:val="-2"/>
                <w:sz w:val="20"/>
              </w:rPr>
            </w:pPr>
            <w:r>
              <w:rPr>
                <w:b/>
                <w:bCs/>
                <w:color w:val="007D8E"/>
                <w:sz w:val="20"/>
              </w:rPr>
              <w:t>Type</w:t>
            </w:r>
            <w:r>
              <w:rPr>
                <w:b/>
                <w:bCs/>
                <w:color w:val="007D8E"/>
                <w:sz w:val="20"/>
              </w:rPr>
              <w:t xml:space="preserve"> </w:t>
            </w:r>
            <w:r>
              <w:rPr>
                <w:b/>
                <w:bCs/>
                <w:color w:val="007D8E"/>
                <w:sz w:val="20"/>
              </w:rPr>
              <w:t>of</w:t>
            </w:r>
            <w:r>
              <w:rPr>
                <w:b/>
                <w:bCs/>
                <w:color w:val="007D8E"/>
                <w:sz w:val="20"/>
              </w:rPr>
              <w:t xml:space="preserve"> </w:t>
            </w:r>
            <w:r>
              <w:rPr>
                <w:b/>
                <w:bCs/>
                <w:color w:val="007D8E"/>
                <w:sz w:val="20"/>
              </w:rPr>
              <w:t>interaction</w:t>
            </w:r>
          </w:p>
        </w:tc>
        <w:tc>
          <w:tcPr>
            <w:tcW w:w="930" w:type="dxa"/>
            <w:tcBorders>
              <w:top w:val="nil"/>
              <w:bottom w:val="single" w:sz="4" w:space="0" w:color="auto"/>
              <w:right w:val="single" w:sz="4" w:space="0" w:color="auto"/>
            </w:tcBorders>
            <w:shd w:val="clear" w:color="auto" w:fill="EAE8E6"/>
            <w:textDirection w:val="btLr"/>
            <w:vAlign w:val="center"/>
          </w:tcPr>
          <w:p>
            <w:pPr>
              <w:spacing w:after="120"/>
              <w:ind w:left="113"/>
              <w:rPr>
                <w:b/>
                <w:bCs/>
                <w:sz w:val="18"/>
                <w:szCs w:val="18"/>
              </w:rPr>
            </w:pPr>
            <w:r>
              <w:rPr>
                <w:b/>
                <w:bCs/>
                <w:sz w:val="18"/>
                <w:szCs w:val="18"/>
              </w:rPr>
              <w:t>Relevant</w:t>
            </w:r>
            <w:r>
              <w:rPr>
                <w:b/>
                <w:bCs/>
                <w:sz w:val="18"/>
                <w:szCs w:val="18"/>
              </w:rPr>
              <w:t xml:space="preserve"> </w:t>
            </w:r>
            <w:r>
              <w:rPr>
                <w:b/>
                <w:bCs/>
                <w:sz w:val="18"/>
                <w:szCs w:val="18"/>
              </w:rPr>
              <w:t xml:space="preserve">General </w:t>
            </w:r>
            <w:r>
              <w:rPr>
                <w:b/>
                <w:bCs/>
                <w:sz w:val="18"/>
                <w:szCs w:val="18"/>
              </w:rPr>
              <w:t>Manager</w:t>
            </w:r>
          </w:p>
        </w:tc>
        <w:tc>
          <w:tcPr>
            <w:tcW w:w="1051" w:type="dxa"/>
            <w:tcBorders>
              <w:top w:val="nil"/>
              <w:left w:val="single" w:sz="4" w:space="0" w:color="auto"/>
              <w:bottom w:val="single" w:sz="4" w:space="0" w:color="auto"/>
              <w:right w:val="single" w:sz="4" w:space="0" w:color="auto"/>
            </w:tcBorders>
            <w:shd w:val="clear" w:color="auto" w:fill="EAE8E6"/>
            <w:textDirection w:val="btLr"/>
            <w:vAlign w:val="center"/>
          </w:tcPr>
          <w:p>
            <w:pPr>
              <w:spacing w:after="120"/>
              <w:ind w:left="113"/>
              <w:rPr>
                <w:b/>
                <w:bCs/>
                <w:sz w:val="18"/>
                <w:szCs w:val="18"/>
              </w:rPr>
            </w:pPr>
            <w:r>
              <w:rPr>
                <w:b/>
                <w:bCs/>
                <w:sz w:val="18"/>
                <w:szCs w:val="18"/>
              </w:rPr>
              <w:t>Relevant</w:t>
            </w:r>
            <w:r>
              <w:rPr>
                <w:b/>
                <w:bCs/>
                <w:sz w:val="18"/>
                <w:szCs w:val="18"/>
              </w:rPr>
              <w:t xml:space="preserve"> </w:t>
            </w:r>
            <w:r>
              <w:rPr>
                <w:b/>
                <w:bCs/>
                <w:sz w:val="18"/>
                <w:szCs w:val="18"/>
              </w:rPr>
              <w:t>Manager</w:t>
            </w:r>
          </w:p>
        </w:tc>
        <w:tc>
          <w:tcPr>
            <w:tcW w:w="849" w:type="dxa"/>
            <w:tcBorders>
              <w:top w:val="nil"/>
              <w:left w:val="single" w:sz="4" w:space="0" w:color="auto"/>
              <w:bottom w:val="single" w:sz="4" w:space="0" w:color="auto"/>
              <w:right w:val="single" w:sz="4" w:space="0" w:color="auto"/>
            </w:tcBorders>
            <w:shd w:val="clear" w:color="auto" w:fill="EAE8E6"/>
            <w:textDirection w:val="btLr"/>
            <w:vAlign w:val="center"/>
          </w:tcPr>
          <w:p>
            <w:pPr>
              <w:spacing w:after="120"/>
              <w:ind w:left="113"/>
              <w:rPr>
                <w:b/>
                <w:bCs/>
                <w:sz w:val="18"/>
                <w:szCs w:val="18"/>
              </w:rPr>
            </w:pPr>
            <w:r>
              <w:rPr>
                <w:b/>
                <w:bCs/>
                <w:sz w:val="18"/>
                <w:szCs w:val="18"/>
              </w:rPr>
              <w:t>Relevant Nominated</w:t>
            </w:r>
            <w:r>
              <w:rPr>
                <w:b/>
                <w:bCs/>
                <w:sz w:val="18"/>
                <w:szCs w:val="18"/>
              </w:rPr>
              <w:t xml:space="preserve"> </w:t>
            </w:r>
            <w:r>
              <w:rPr>
                <w:b/>
                <w:bCs/>
                <w:sz w:val="18"/>
                <w:szCs w:val="18"/>
              </w:rPr>
              <w:t xml:space="preserve">officer </w:t>
              <w:br/>
              <w:t xml:space="preserve">(see table 3)</w:t>
            </w:r>
          </w:p>
        </w:tc>
        <w:tc>
          <w:tcPr>
            <w:tcW w:w="708" w:type="dxa"/>
            <w:tcBorders>
              <w:top w:val="nil"/>
              <w:left w:val="single" w:sz="4" w:space="0" w:color="auto"/>
              <w:bottom w:val="single" w:sz="4" w:space="0" w:color="auto"/>
              <w:right w:val="single" w:sz="4" w:space="0" w:color="auto"/>
            </w:tcBorders>
            <w:shd w:val="clear" w:color="auto" w:fill="EAE8E6"/>
            <w:textDirection w:val="btLr"/>
            <w:vAlign w:val="center"/>
          </w:tcPr>
          <w:p>
            <w:pPr>
              <w:spacing w:after="120"/>
              <w:ind w:left="113"/>
              <w:rPr>
                <w:b/>
                <w:bCs/>
                <w:sz w:val="18"/>
                <w:szCs w:val="18"/>
              </w:rPr>
            </w:pPr>
            <w:r>
              <w:rPr>
                <w:b/>
                <w:bCs/>
                <w:sz w:val="18"/>
                <w:szCs w:val="18"/>
              </w:rPr>
              <w:t>Councillor</w:t>
            </w:r>
            <w:r>
              <w:rPr>
                <w:b/>
                <w:bCs/>
                <w:sz w:val="18"/>
                <w:szCs w:val="18"/>
              </w:rPr>
              <w:t xml:space="preserve"> </w:t>
            </w:r>
            <w:r>
              <w:rPr>
                <w:b/>
                <w:bCs/>
                <w:sz w:val="18"/>
                <w:szCs w:val="18"/>
              </w:rPr>
              <w:t xml:space="preserve">Support </w:t>
            </w:r>
            <w:r>
              <w:rPr>
                <w:b/>
                <w:bCs/>
                <w:sz w:val="18"/>
                <w:szCs w:val="18"/>
              </w:rPr>
              <w:t>Team</w:t>
            </w:r>
          </w:p>
        </w:tc>
      </w:tr>
      <w:tr>
        <w:trPr>
          <w:trHeight w:val="305"/>
        </w:trPr>
        <w:tc>
          <w:tcPr>
            <w:tcW w:w="6232" w:type="dxa"/>
            <w:tcBorders>
              <w:top w:val="single" w:sz="4" w:space="0" w:color="auto"/>
              <w:right w:val="single" w:sz="4" w:space="0" w:color="auto"/>
            </w:tcBorders>
            <w:vAlign w:val="center"/>
          </w:tcPr>
          <w:p>
            <w:pPr>
              <w:spacing w:before="40" w:after="40" w:line="240" w:lineRule="auto"/>
              <w:ind w:left="84"/>
              <w:rPr>
                <w:i/>
                <w:sz w:val="18"/>
                <w:szCs w:val="18"/>
              </w:rPr>
            </w:pPr>
            <w:r>
              <w:rPr>
                <w:sz w:val="18"/>
                <w:szCs w:val="18"/>
              </w:rPr>
              <w:t>Sensitive Media</w:t>
            </w:r>
            <w:r>
              <w:rPr>
                <w:sz w:val="18"/>
                <w:szCs w:val="18"/>
              </w:rPr>
              <w:t xml:space="preserve"> </w:t>
            </w:r>
            <w:r>
              <w:rPr>
                <w:sz w:val="18"/>
                <w:szCs w:val="18"/>
              </w:rPr>
              <w:t>and</w:t>
            </w:r>
            <w:r>
              <w:rPr>
                <w:sz w:val="18"/>
                <w:szCs w:val="18"/>
              </w:rPr>
              <w:t xml:space="preserve"> </w:t>
            </w:r>
            <w:r>
              <w:rPr>
                <w:sz w:val="18"/>
                <w:szCs w:val="18"/>
              </w:rPr>
              <w:t>communications</w:t>
            </w:r>
            <w:r>
              <w:rPr>
                <w:sz w:val="18"/>
                <w:szCs w:val="18"/>
              </w:rPr>
              <w:t xml:space="preserve"> </w:t>
            </w:r>
            <w:r>
              <w:rPr>
                <w:sz w:val="18"/>
                <w:szCs w:val="18"/>
              </w:rPr>
              <w:t>issues</w:t>
            </w:r>
          </w:p>
        </w:tc>
        <w:tc>
          <w:tcPr>
            <w:tcW w:w="930" w:type="dxa"/>
            <w:tcBorders>
              <w:top w:val="single" w:sz="4" w:space="0" w:color="auto"/>
              <w:left w:val="single" w:sz="4" w:space="0" w:color="auto"/>
              <w:right w:val="single" w:sz="4" w:space="0" w:color="auto"/>
            </w:tcBorders>
            <w:shd w:val="clear" w:color="auto" w:fill="958A7A"/>
            <w:vAlign w:val="center"/>
          </w:tcPr>
          <w:p>
            <w:pPr>
              <w:spacing w:before="40" w:after="40" w:line="240" w:lineRule="auto"/>
              <w:rPr>
                <w:sz w:val="18"/>
                <w:szCs w:val="18"/>
              </w:rPr>
            </w:pPr>
          </w:p>
        </w:tc>
        <w:tc>
          <w:tcPr>
            <w:tcW w:w="1051" w:type="dxa"/>
            <w:tcBorders>
              <w:top w:val="single" w:sz="4" w:space="0" w:color="auto"/>
              <w:left w:val="single" w:sz="4" w:space="0" w:color="auto"/>
              <w:right w:val="single" w:sz="4" w:space="0" w:color="auto"/>
            </w:tcBorders>
            <w:shd w:val="clear" w:color="auto" w:fill="D0CECE"/>
            <w:vAlign w:val="center"/>
          </w:tcPr>
          <w:p>
            <w:pPr>
              <w:spacing w:before="40" w:after="40" w:line="240" w:lineRule="auto"/>
              <w:rPr>
                <w:sz w:val="18"/>
                <w:szCs w:val="18"/>
              </w:rPr>
            </w:pPr>
          </w:p>
        </w:tc>
        <w:tc>
          <w:tcPr>
            <w:tcW w:w="849" w:type="dxa"/>
            <w:tcBorders>
              <w:top w:val="single" w:sz="4" w:space="0" w:color="auto"/>
              <w:left w:val="single" w:sz="4" w:space="0" w:color="auto"/>
              <w:right w:val="single" w:sz="4" w:space="0" w:color="auto"/>
            </w:tcBorders>
            <w:vAlign w:val="center"/>
          </w:tcPr>
          <w:p>
            <w:pPr>
              <w:spacing w:before="40" w:after="40" w:line="240" w:lineRule="auto"/>
              <w:jc w:val="center"/>
              <w:rPr>
                <w:sz w:val="18"/>
                <w:szCs w:val="18"/>
              </w:rPr>
            </w:pPr>
            <w:r>
              <w:rPr>
                <w:sz w:val="18"/>
                <w:szCs w:val="18"/>
              </w:rPr>
              <w:t>CM</w:t>
            </w:r>
          </w:p>
        </w:tc>
        <w:tc>
          <w:tcPr>
            <w:tcW w:w="708" w:type="dxa"/>
            <w:tcBorders>
              <w:top w:val="single" w:sz="4" w:space="0" w:color="auto"/>
              <w:left w:val="single" w:sz="4" w:space="0" w:color="auto"/>
              <w:right w:val="single" w:sz="4" w:space="0" w:color="auto"/>
            </w:tcBorders>
          </w:tcPr>
          <w:p>
            <w:pPr>
              <w:spacing w:before="40" w:after="40" w:line="240" w:lineRule="auto"/>
              <w:jc w:val="center"/>
              <w:rPr>
                <w:sz w:val="18"/>
                <w:szCs w:val="18"/>
              </w:rPr>
            </w:pPr>
            <w:r>
              <w:rPr>
                <w:sz w:val="18"/>
                <w:szCs w:val="18"/>
              </w:rPr>
              <w:t>-</w:t>
            </w:r>
          </w:p>
        </w:tc>
      </w:tr>
      <w:tr>
        <w:trPr>
          <w:trHeight w:val="313"/>
        </w:trPr>
        <w:tc>
          <w:tcPr>
            <w:tcW w:w="6232" w:type="dxa"/>
            <w:tcBorders>
              <w:top w:val="single" w:sz="4" w:space="0" w:color="auto"/>
              <w:right w:val="single" w:sz="4" w:space="0" w:color="auto"/>
            </w:tcBorders>
            <w:vAlign w:val="center"/>
          </w:tcPr>
          <w:p>
            <w:pPr>
              <w:spacing w:before="40" w:after="40" w:line="240" w:lineRule="auto"/>
              <w:ind w:left="84"/>
              <w:rPr>
                <w:sz w:val="18"/>
                <w:szCs w:val="18"/>
              </w:rPr>
            </w:pPr>
            <w:r>
              <w:rPr>
                <w:sz w:val="18"/>
                <w:szCs w:val="18"/>
              </w:rPr>
              <w:t xml:space="preserve">Advocacy </w:t>
            </w:r>
          </w:p>
        </w:tc>
        <w:tc>
          <w:tcPr>
            <w:tcW w:w="930" w:type="dxa"/>
            <w:tcBorders>
              <w:top w:val="single" w:sz="4" w:space="0" w:color="auto"/>
              <w:left w:val="single" w:sz="4" w:space="0" w:color="auto"/>
              <w:right w:val="single" w:sz="4" w:space="0" w:color="auto"/>
            </w:tcBorders>
            <w:shd w:val="clear" w:color="auto" w:fill="958A7A"/>
            <w:vAlign w:val="center"/>
          </w:tcPr>
          <w:p>
            <w:pPr>
              <w:spacing w:before="40" w:after="40" w:line="240" w:lineRule="auto"/>
              <w:rPr>
                <w:sz w:val="18"/>
                <w:szCs w:val="18"/>
              </w:rPr>
            </w:pPr>
          </w:p>
        </w:tc>
        <w:tc>
          <w:tcPr>
            <w:tcW w:w="1051" w:type="dxa"/>
            <w:tcBorders>
              <w:top w:val="single" w:sz="4" w:space="0" w:color="auto"/>
              <w:left w:val="single" w:sz="4" w:space="0" w:color="auto"/>
              <w:right w:val="single" w:sz="4" w:space="0" w:color="auto"/>
            </w:tcBorders>
            <w:shd w:val="clear" w:color="auto" w:fill="D0CECE"/>
            <w:vAlign w:val="center"/>
          </w:tcPr>
          <w:p>
            <w:pPr>
              <w:spacing w:before="40" w:after="40" w:line="240" w:lineRule="auto"/>
              <w:rPr>
                <w:sz w:val="18"/>
                <w:szCs w:val="18"/>
              </w:rPr>
            </w:pPr>
          </w:p>
        </w:tc>
        <w:tc>
          <w:tcPr>
            <w:tcW w:w="849" w:type="dxa"/>
            <w:tcBorders>
              <w:top w:val="single" w:sz="4" w:space="0" w:color="auto"/>
              <w:left w:val="single" w:sz="4" w:space="0" w:color="auto"/>
              <w:right w:val="single" w:sz="4" w:space="0" w:color="auto"/>
            </w:tcBorders>
            <w:vAlign w:val="center"/>
          </w:tcPr>
          <w:p>
            <w:pPr>
              <w:spacing w:before="40" w:after="40" w:line="240" w:lineRule="auto"/>
              <w:jc w:val="center"/>
              <w:rPr>
                <w:sz w:val="18"/>
                <w:szCs w:val="18"/>
              </w:rPr>
            </w:pPr>
            <w:r>
              <w:rPr>
                <w:sz w:val="18"/>
                <w:szCs w:val="18"/>
              </w:rPr>
              <w:t>CAP</w:t>
            </w:r>
          </w:p>
        </w:tc>
        <w:tc>
          <w:tcPr>
            <w:tcW w:w="708" w:type="dxa"/>
            <w:tcBorders>
              <w:top w:val="single" w:sz="4" w:space="0" w:color="auto"/>
              <w:left w:val="single" w:sz="4" w:space="0" w:color="auto"/>
              <w:right w:val="single" w:sz="4" w:space="0" w:color="auto"/>
            </w:tcBorders>
          </w:tcPr>
          <w:p>
            <w:pPr>
              <w:spacing w:before="40" w:after="40" w:line="240" w:lineRule="auto"/>
              <w:jc w:val="center"/>
              <w:rPr>
                <w:sz w:val="18"/>
                <w:szCs w:val="18"/>
              </w:rPr>
            </w:pPr>
            <w:r>
              <w:rPr>
                <w:sz w:val="18"/>
                <w:szCs w:val="18"/>
              </w:rPr>
              <w:t>-</w:t>
            </w:r>
          </w:p>
        </w:tc>
      </w:tr>
      <w:tr>
        <w:trPr>
          <w:trHeight w:val="459"/>
        </w:trPr>
        <w:tc>
          <w:tcPr>
            <w:tcW w:w="6232" w:type="dxa"/>
            <w:tcBorders>
              <w:top w:val="single" w:sz="4" w:space="0" w:color="auto"/>
              <w:right w:val="single" w:sz="4" w:space="0" w:color="auto"/>
            </w:tcBorders>
            <w:vAlign w:val="center"/>
          </w:tcPr>
          <w:p>
            <w:pPr>
              <w:spacing w:before="40" w:after="40" w:line="240" w:lineRule="auto"/>
              <w:ind w:left="84"/>
              <w:rPr>
                <w:sz w:val="18"/>
                <w:szCs w:val="18"/>
              </w:rPr>
            </w:pPr>
            <w:r>
              <w:rPr>
                <w:sz w:val="18"/>
                <w:szCs w:val="18"/>
              </w:rPr>
              <w:t>Matters to be considered or presented at Council</w:t>
            </w:r>
            <w:r>
              <w:rPr>
                <w:sz w:val="18"/>
                <w:szCs w:val="18"/>
              </w:rPr>
              <w:t xml:space="preserve"> </w:t>
            </w:r>
            <w:r>
              <w:rPr>
                <w:sz w:val="18"/>
                <w:szCs w:val="18"/>
              </w:rPr>
              <w:t>meetings</w:t>
            </w:r>
            <w:r>
              <w:rPr>
                <w:sz w:val="18"/>
                <w:szCs w:val="18"/>
              </w:rPr>
              <w:t xml:space="preserve"> </w:t>
            </w:r>
            <w:r>
              <w:rPr>
                <w:sz w:val="18"/>
                <w:szCs w:val="18"/>
              </w:rPr>
              <w:t>(including</w:t>
            </w:r>
            <w:r>
              <w:rPr>
                <w:sz w:val="18"/>
                <w:szCs w:val="18"/>
              </w:rPr>
              <w:t xml:space="preserve"> </w:t>
            </w:r>
            <w:r>
              <w:rPr>
                <w:sz w:val="18"/>
                <w:szCs w:val="18"/>
              </w:rPr>
              <w:t>alternative</w:t>
            </w:r>
            <w:r>
              <w:rPr>
                <w:sz w:val="18"/>
                <w:szCs w:val="18"/>
              </w:rPr>
              <w:t xml:space="preserve"> </w:t>
            </w:r>
            <w:r>
              <w:rPr>
                <w:sz w:val="18"/>
                <w:szCs w:val="18"/>
              </w:rPr>
              <w:t xml:space="preserve">motions, items of general business, petitions and joint letters, tabling of Delegates Reports) </w:t>
            </w:r>
          </w:p>
        </w:tc>
        <w:tc>
          <w:tcPr>
            <w:tcW w:w="930" w:type="dxa"/>
            <w:tcBorders>
              <w:top w:val="single" w:sz="4" w:space="0" w:color="auto"/>
              <w:left w:val="single" w:sz="4" w:space="0" w:color="auto"/>
              <w:right w:val="single" w:sz="4" w:space="0" w:color="auto"/>
            </w:tcBorders>
            <w:vAlign w:val="center"/>
          </w:tcPr>
          <w:p>
            <w:pPr>
              <w:spacing w:before="40" w:after="40" w:line="240" w:lineRule="auto"/>
              <w:rPr>
                <w:sz w:val="18"/>
                <w:szCs w:val="18"/>
              </w:rPr>
            </w:pPr>
            <w:r>
              <w:rPr>
                <w:sz w:val="18"/>
                <w:szCs w:val="18"/>
              </w:rPr>
              <w:t>Relevant GM</w:t>
            </w:r>
          </w:p>
        </w:tc>
        <w:tc>
          <w:tcPr>
            <w:tcW w:w="1051" w:type="dxa"/>
            <w:tcBorders>
              <w:top w:val="single" w:sz="4" w:space="0" w:color="auto"/>
              <w:left w:val="single" w:sz="4" w:space="0" w:color="auto"/>
              <w:right w:val="single" w:sz="4" w:space="0" w:color="auto"/>
            </w:tcBorders>
            <w:shd w:val="clear" w:color="auto" w:fill="auto"/>
            <w:vAlign w:val="center"/>
          </w:tcPr>
          <w:p>
            <w:pPr>
              <w:spacing w:before="40" w:after="40" w:line="240" w:lineRule="auto"/>
              <w:rPr>
                <w:sz w:val="18"/>
                <w:szCs w:val="18"/>
              </w:rPr>
            </w:pPr>
            <w:r>
              <w:rPr>
                <w:sz w:val="18"/>
                <w:szCs w:val="18"/>
              </w:rPr>
              <w:t xml:space="preserve">Relevant </w:t>
            </w:r>
          </w:p>
          <w:p>
            <w:pPr>
              <w:spacing w:before="40" w:after="40" w:line="240" w:lineRule="auto"/>
              <w:rPr>
                <w:sz w:val="18"/>
                <w:szCs w:val="18"/>
              </w:rPr>
            </w:pPr>
            <w:r>
              <w:rPr>
                <w:sz w:val="18"/>
                <w:szCs w:val="18"/>
              </w:rPr>
              <w:t>Manager</w:t>
            </w:r>
          </w:p>
        </w:tc>
        <w:tc>
          <w:tcPr>
            <w:tcW w:w="849" w:type="dxa"/>
            <w:tcBorders>
              <w:top w:val="single" w:sz="4" w:space="0" w:color="auto"/>
              <w:left w:val="single" w:sz="4" w:space="0" w:color="auto"/>
              <w:right w:val="single" w:sz="4" w:space="0" w:color="auto"/>
            </w:tcBorders>
            <w:vAlign w:val="center"/>
          </w:tcPr>
          <w:p>
            <w:pPr>
              <w:spacing w:before="40" w:after="40" w:line="240" w:lineRule="auto"/>
              <w:jc w:val="center"/>
              <w:rPr>
                <w:sz w:val="18"/>
                <w:szCs w:val="18"/>
              </w:rPr>
            </w:pPr>
            <w:r>
              <w:rPr>
                <w:sz w:val="18"/>
                <w:szCs w:val="18"/>
              </w:rPr>
              <w:t>HoG</w:t>
            </w:r>
          </w:p>
        </w:tc>
        <w:tc>
          <w:tcPr>
            <w:tcW w:w="708" w:type="dxa"/>
            <w:tcBorders>
              <w:top w:val="single" w:sz="4" w:space="0" w:color="auto"/>
              <w:left w:val="single" w:sz="4" w:space="0" w:color="auto"/>
              <w:right w:val="single" w:sz="4" w:space="0" w:color="auto"/>
            </w:tcBorders>
          </w:tcPr>
          <w:p>
            <w:pPr>
              <w:spacing w:before="40" w:after="40" w:line="240" w:lineRule="auto"/>
              <w:jc w:val="center"/>
              <w:rPr>
                <w:sz w:val="18"/>
                <w:szCs w:val="18"/>
              </w:rPr>
            </w:pPr>
            <w:r>
              <w:rPr>
                <w:sz w:val="18"/>
                <w:szCs w:val="18"/>
              </w:rPr>
              <w:t>-</w:t>
            </w:r>
          </w:p>
        </w:tc>
      </w:tr>
      <w:tr>
        <w:trPr>
          <w:trHeight w:val="334"/>
        </w:trPr>
        <w:tc>
          <w:tcPr>
            <w:tcW w:w="6232" w:type="dxa"/>
            <w:tcBorders>
              <w:top w:val="single" w:sz="4" w:space="0" w:color="auto"/>
              <w:right w:val="single" w:sz="4" w:space="0" w:color="auto"/>
            </w:tcBorders>
            <w:vAlign w:val="center"/>
          </w:tcPr>
          <w:p>
            <w:pPr>
              <w:spacing w:before="40" w:after="40" w:line="240" w:lineRule="auto"/>
              <w:ind w:left="84"/>
              <w:rPr>
                <w:sz w:val="18"/>
                <w:szCs w:val="18"/>
              </w:rPr>
            </w:pPr>
            <w:r>
              <w:rPr>
                <w:sz w:val="18"/>
                <w:szCs w:val="18"/>
              </w:rPr>
              <w:t>Matters</w:t>
            </w:r>
            <w:r>
              <w:rPr>
                <w:sz w:val="18"/>
                <w:szCs w:val="18"/>
              </w:rPr>
              <w:t xml:space="preserve"> </w:t>
            </w:r>
            <w:r>
              <w:rPr>
                <w:sz w:val="18"/>
                <w:szCs w:val="18"/>
              </w:rPr>
              <w:t>formally</w:t>
            </w:r>
            <w:r>
              <w:rPr>
                <w:sz w:val="18"/>
                <w:szCs w:val="18"/>
              </w:rPr>
              <w:t xml:space="preserve"> </w:t>
            </w:r>
            <w:r>
              <w:rPr>
                <w:sz w:val="18"/>
                <w:szCs w:val="18"/>
              </w:rPr>
              <w:t>submitted</w:t>
            </w:r>
            <w:r>
              <w:rPr>
                <w:sz w:val="18"/>
                <w:szCs w:val="18"/>
              </w:rPr>
              <w:t xml:space="preserve"> </w:t>
            </w:r>
            <w:r>
              <w:rPr>
                <w:sz w:val="18"/>
                <w:szCs w:val="18"/>
              </w:rPr>
              <w:t>in</w:t>
            </w:r>
            <w:r>
              <w:rPr>
                <w:sz w:val="18"/>
                <w:szCs w:val="18"/>
              </w:rPr>
              <w:t xml:space="preserve"> </w:t>
            </w:r>
            <w:r>
              <w:rPr>
                <w:sz w:val="18"/>
                <w:szCs w:val="18"/>
              </w:rPr>
              <w:t>accordance</w:t>
            </w:r>
            <w:r>
              <w:rPr>
                <w:sz w:val="18"/>
                <w:szCs w:val="18"/>
              </w:rPr>
              <w:t xml:space="preserve"> </w:t>
            </w:r>
            <w:r>
              <w:rPr>
                <w:sz w:val="18"/>
                <w:szCs w:val="18"/>
              </w:rPr>
              <w:t xml:space="preserve">with Council’s Governance Rules (i.e. Notice of </w:t>
            </w:r>
            <w:r>
              <w:rPr>
                <w:sz w:val="18"/>
                <w:szCs w:val="18"/>
              </w:rPr>
              <w:t>Motion)</w:t>
            </w:r>
          </w:p>
        </w:tc>
        <w:tc>
          <w:tcPr>
            <w:tcW w:w="930" w:type="dxa"/>
            <w:tcBorders>
              <w:top w:val="single" w:sz="4" w:space="0" w:color="auto"/>
              <w:left w:val="single" w:sz="4" w:space="0" w:color="auto"/>
              <w:right w:val="single" w:sz="4" w:space="0" w:color="auto"/>
            </w:tcBorders>
            <w:vAlign w:val="center"/>
          </w:tcPr>
          <w:p>
            <w:pPr>
              <w:spacing w:before="40" w:after="40" w:line="240" w:lineRule="auto"/>
              <w:rPr>
                <w:sz w:val="18"/>
                <w:szCs w:val="18"/>
              </w:rPr>
            </w:pPr>
            <w:r>
              <w:rPr>
                <w:sz w:val="18"/>
                <w:szCs w:val="18"/>
              </w:rPr>
              <w:t>Relevant GM</w:t>
            </w:r>
          </w:p>
        </w:tc>
        <w:tc>
          <w:tcPr>
            <w:tcW w:w="1051" w:type="dxa"/>
            <w:tcBorders>
              <w:top w:val="single" w:sz="4" w:space="0" w:color="auto"/>
              <w:left w:val="single" w:sz="4" w:space="0" w:color="auto"/>
              <w:right w:val="single" w:sz="4" w:space="0" w:color="auto"/>
            </w:tcBorders>
            <w:shd w:val="clear" w:color="auto" w:fill="D0CECE"/>
            <w:vAlign w:val="center"/>
          </w:tcPr>
          <w:p>
            <w:pPr>
              <w:spacing w:before="40" w:after="40" w:line="240" w:lineRule="auto"/>
              <w:rPr>
                <w:sz w:val="18"/>
                <w:szCs w:val="18"/>
              </w:rPr>
            </w:pPr>
          </w:p>
          <w:p>
            <w:pPr>
              <w:spacing w:before="40" w:after="40" w:line="240" w:lineRule="auto"/>
              <w:rPr>
                <w:sz w:val="18"/>
                <w:szCs w:val="18"/>
              </w:rPr>
            </w:pPr>
          </w:p>
        </w:tc>
        <w:tc>
          <w:tcPr>
            <w:tcW w:w="849" w:type="dxa"/>
            <w:tcBorders>
              <w:top w:val="single" w:sz="4" w:space="0" w:color="auto"/>
              <w:left w:val="single" w:sz="4" w:space="0" w:color="auto"/>
              <w:right w:val="single" w:sz="4" w:space="0" w:color="auto"/>
            </w:tcBorders>
            <w:vAlign w:val="center"/>
          </w:tcPr>
          <w:p>
            <w:pPr>
              <w:spacing w:before="40" w:after="40" w:line="240" w:lineRule="auto"/>
              <w:jc w:val="center"/>
              <w:rPr>
                <w:sz w:val="18"/>
                <w:szCs w:val="18"/>
              </w:rPr>
            </w:pPr>
            <w:r>
              <w:rPr>
                <w:sz w:val="18"/>
                <w:szCs w:val="18"/>
              </w:rPr>
              <w:t>HoG</w:t>
            </w:r>
          </w:p>
        </w:tc>
        <w:tc>
          <w:tcPr>
            <w:tcW w:w="708" w:type="dxa"/>
            <w:tcBorders>
              <w:top w:val="single" w:sz="4" w:space="0" w:color="auto"/>
              <w:left w:val="single" w:sz="4" w:space="0" w:color="auto"/>
              <w:right w:val="single" w:sz="4" w:space="0" w:color="auto"/>
            </w:tcBorders>
          </w:tcPr>
          <w:p>
            <w:pPr>
              <w:spacing w:before="40" w:after="40" w:line="240" w:lineRule="auto"/>
              <w:jc w:val="center"/>
              <w:rPr>
                <w:sz w:val="18"/>
                <w:szCs w:val="18"/>
              </w:rPr>
            </w:pPr>
            <w:r>
              <w:rPr>
                <w:sz w:val="18"/>
                <w:szCs w:val="18"/>
              </w:rPr>
              <w:t>-</w:t>
            </w:r>
          </w:p>
        </w:tc>
      </w:tr>
      <w:tr>
        <w:trPr>
          <w:trHeight w:val="459"/>
        </w:trPr>
        <w:tc>
          <w:tcPr>
            <w:tcW w:w="6232" w:type="dxa"/>
            <w:tcBorders>
              <w:top w:val="single" w:sz="4" w:space="0" w:color="auto"/>
              <w:right w:val="single" w:sz="4" w:space="0" w:color="auto"/>
            </w:tcBorders>
            <w:vAlign w:val="center"/>
          </w:tcPr>
          <w:p>
            <w:pPr>
              <w:spacing w:before="40" w:after="40" w:line="240" w:lineRule="auto"/>
              <w:ind w:left="84"/>
              <w:rPr>
                <w:sz w:val="18"/>
                <w:szCs w:val="18"/>
              </w:rPr>
            </w:pPr>
            <w:r>
              <w:rPr>
                <w:sz w:val="18"/>
                <w:szCs w:val="18"/>
              </w:rPr>
              <w:t>Governance</w:t>
            </w:r>
            <w:r>
              <w:rPr>
                <w:sz w:val="18"/>
                <w:szCs w:val="18"/>
              </w:rPr>
              <w:t xml:space="preserve"> </w:t>
            </w:r>
            <w:r>
              <w:rPr>
                <w:sz w:val="18"/>
                <w:szCs w:val="18"/>
              </w:rPr>
              <w:t>matters,</w:t>
            </w:r>
            <w:r>
              <w:rPr>
                <w:sz w:val="18"/>
                <w:szCs w:val="18"/>
              </w:rPr>
              <w:t xml:space="preserve"> </w:t>
            </w:r>
            <w:r>
              <w:rPr>
                <w:sz w:val="18"/>
                <w:szCs w:val="18"/>
              </w:rPr>
              <w:t>including</w:t>
            </w:r>
            <w:r>
              <w:rPr>
                <w:sz w:val="18"/>
                <w:szCs w:val="18"/>
              </w:rPr>
              <w:t xml:space="preserve"> </w:t>
            </w:r>
            <w:r>
              <w:rPr>
                <w:sz w:val="18"/>
                <w:szCs w:val="18"/>
              </w:rPr>
              <w:t>Council</w:t>
            </w:r>
            <w:r>
              <w:rPr>
                <w:sz w:val="18"/>
                <w:szCs w:val="18"/>
              </w:rPr>
              <w:t xml:space="preserve"> </w:t>
            </w:r>
            <w:r>
              <w:rPr>
                <w:sz w:val="18"/>
                <w:szCs w:val="18"/>
              </w:rPr>
              <w:t xml:space="preserve">meeting rules and procedure, conflicts of interest enquiries, personal interests returns etc.</w:t>
            </w:r>
          </w:p>
        </w:tc>
        <w:tc>
          <w:tcPr>
            <w:tcW w:w="930" w:type="dxa"/>
            <w:tcBorders>
              <w:top w:val="single" w:sz="4" w:space="0" w:color="auto"/>
              <w:left w:val="single" w:sz="4" w:space="0" w:color="auto"/>
              <w:right w:val="single" w:sz="4" w:space="0" w:color="auto"/>
            </w:tcBorders>
            <w:shd w:val="clear" w:color="auto" w:fill="958A7A"/>
            <w:vAlign w:val="center"/>
          </w:tcPr>
          <w:p>
            <w:pPr>
              <w:spacing w:before="40" w:after="40" w:line="240" w:lineRule="auto"/>
              <w:rPr>
                <w:sz w:val="18"/>
                <w:szCs w:val="18"/>
              </w:rPr>
            </w:pPr>
          </w:p>
          <w:p>
            <w:pPr>
              <w:spacing w:before="40" w:after="40" w:line="240" w:lineRule="auto"/>
              <w:rPr>
                <w:sz w:val="18"/>
                <w:szCs w:val="18"/>
              </w:rPr>
            </w:pPr>
          </w:p>
        </w:tc>
        <w:tc>
          <w:tcPr>
            <w:tcW w:w="1051" w:type="dxa"/>
            <w:tcBorders>
              <w:top w:val="single" w:sz="4" w:space="0" w:color="auto"/>
              <w:left w:val="single" w:sz="4" w:space="0" w:color="auto"/>
              <w:right w:val="single" w:sz="4" w:space="0" w:color="auto"/>
            </w:tcBorders>
            <w:shd w:val="clear" w:color="auto" w:fill="D0CECE"/>
            <w:vAlign w:val="center"/>
          </w:tcPr>
          <w:p>
            <w:pPr>
              <w:spacing w:before="40" w:after="40" w:line="240" w:lineRule="auto"/>
              <w:rPr>
                <w:sz w:val="18"/>
                <w:szCs w:val="18"/>
              </w:rPr>
            </w:pPr>
          </w:p>
          <w:p>
            <w:pPr>
              <w:spacing w:before="40" w:after="40" w:line="240" w:lineRule="auto"/>
              <w:rPr>
                <w:sz w:val="18"/>
                <w:szCs w:val="18"/>
              </w:rPr>
            </w:pPr>
          </w:p>
        </w:tc>
        <w:tc>
          <w:tcPr>
            <w:tcW w:w="849" w:type="dxa"/>
            <w:tcBorders>
              <w:top w:val="single" w:sz="4" w:space="0" w:color="auto"/>
              <w:left w:val="single" w:sz="4" w:space="0" w:color="auto"/>
              <w:right w:val="single" w:sz="4" w:space="0" w:color="auto"/>
            </w:tcBorders>
            <w:vAlign w:val="center"/>
          </w:tcPr>
          <w:p>
            <w:pPr>
              <w:spacing w:before="40" w:after="40" w:line="240" w:lineRule="auto"/>
              <w:jc w:val="center"/>
              <w:rPr>
                <w:sz w:val="18"/>
                <w:szCs w:val="18"/>
              </w:rPr>
            </w:pPr>
            <w:r>
              <w:rPr>
                <w:sz w:val="18"/>
                <w:szCs w:val="18"/>
              </w:rPr>
              <w:t>HoG</w:t>
            </w:r>
          </w:p>
        </w:tc>
        <w:tc>
          <w:tcPr>
            <w:tcW w:w="708" w:type="dxa"/>
            <w:tcBorders>
              <w:top w:val="single" w:sz="4" w:space="0" w:color="auto"/>
              <w:left w:val="single" w:sz="4" w:space="0" w:color="auto"/>
              <w:right w:val="single" w:sz="4" w:space="0" w:color="auto"/>
            </w:tcBorders>
          </w:tcPr>
          <w:p>
            <w:pPr>
              <w:spacing w:before="40" w:after="40" w:line="240" w:lineRule="auto"/>
              <w:jc w:val="center"/>
              <w:rPr>
                <w:sz w:val="18"/>
                <w:szCs w:val="18"/>
              </w:rPr>
            </w:pPr>
            <w:r>
              <w:rPr>
                <w:sz w:val="18"/>
                <w:szCs w:val="18"/>
              </w:rPr>
              <w:t>-</w:t>
            </w:r>
          </w:p>
        </w:tc>
      </w:tr>
      <w:tr>
        <w:trPr>
          <w:trHeight w:val="518"/>
        </w:trPr>
        <w:tc>
          <w:tcPr>
            <w:tcW w:w="6232" w:type="dxa"/>
            <w:tcBorders>
              <w:top w:val="single" w:sz="4" w:space="0" w:color="auto"/>
              <w:right w:val="single" w:sz="4" w:space="0" w:color="auto"/>
            </w:tcBorders>
            <w:vAlign w:val="center"/>
          </w:tcPr>
          <w:p>
            <w:pPr>
              <w:spacing w:before="40" w:after="40" w:line="240" w:lineRule="auto"/>
              <w:ind w:left="84"/>
              <w:rPr>
                <w:sz w:val="18"/>
                <w:szCs w:val="18"/>
              </w:rPr>
            </w:pPr>
            <w:r>
              <w:rPr>
                <w:sz w:val="18"/>
                <w:szCs w:val="18"/>
              </w:rPr>
              <w:t>Confidential or sensitive matters relating to an individual Councillor, officer complaint or breach of Code of Conduct or policy</w:t>
            </w:r>
          </w:p>
        </w:tc>
        <w:tc>
          <w:tcPr>
            <w:tcW w:w="930" w:type="dxa"/>
            <w:tcBorders>
              <w:top w:val="single" w:sz="4" w:space="0" w:color="auto"/>
              <w:left w:val="single" w:sz="4" w:space="0" w:color="auto"/>
              <w:right w:val="single" w:sz="4" w:space="0" w:color="auto"/>
            </w:tcBorders>
            <w:shd w:val="clear" w:color="auto" w:fill="958A7A"/>
            <w:vAlign w:val="center"/>
          </w:tcPr>
          <w:p>
            <w:pPr>
              <w:spacing w:before="40" w:after="40" w:line="240" w:lineRule="auto"/>
              <w:rPr>
                <w:sz w:val="18"/>
                <w:szCs w:val="18"/>
              </w:rPr>
            </w:pPr>
          </w:p>
          <w:p>
            <w:pPr>
              <w:spacing w:before="40" w:after="40" w:line="240" w:lineRule="auto"/>
              <w:rPr>
                <w:sz w:val="18"/>
                <w:szCs w:val="18"/>
              </w:rPr>
            </w:pPr>
          </w:p>
        </w:tc>
        <w:tc>
          <w:tcPr>
            <w:tcW w:w="1051" w:type="dxa"/>
            <w:tcBorders>
              <w:top w:val="single" w:sz="4" w:space="0" w:color="auto"/>
              <w:left w:val="single" w:sz="4" w:space="0" w:color="auto"/>
              <w:right w:val="single" w:sz="4" w:space="0" w:color="auto"/>
            </w:tcBorders>
            <w:shd w:val="clear" w:color="auto" w:fill="D0CECE"/>
            <w:vAlign w:val="center"/>
          </w:tcPr>
          <w:p>
            <w:pPr>
              <w:spacing w:before="40" w:after="40" w:line="240" w:lineRule="auto"/>
              <w:rPr>
                <w:sz w:val="18"/>
                <w:szCs w:val="18"/>
              </w:rPr>
            </w:pPr>
          </w:p>
          <w:p>
            <w:pPr>
              <w:spacing w:before="40" w:after="40" w:line="240" w:lineRule="auto"/>
              <w:rPr>
                <w:sz w:val="18"/>
                <w:szCs w:val="18"/>
              </w:rPr>
            </w:pPr>
          </w:p>
        </w:tc>
        <w:tc>
          <w:tcPr>
            <w:tcW w:w="849" w:type="dxa"/>
            <w:tcBorders>
              <w:top w:val="single" w:sz="4" w:space="0" w:color="auto"/>
              <w:left w:val="single" w:sz="4" w:space="0" w:color="auto"/>
              <w:right w:val="single" w:sz="4" w:space="0" w:color="auto"/>
            </w:tcBorders>
            <w:vAlign w:val="center"/>
          </w:tcPr>
          <w:p>
            <w:pPr>
              <w:spacing w:before="40" w:after="40" w:line="240" w:lineRule="auto"/>
              <w:jc w:val="center"/>
              <w:rPr>
                <w:sz w:val="18"/>
                <w:szCs w:val="18"/>
              </w:rPr>
            </w:pPr>
            <w:r>
              <w:rPr>
                <w:sz w:val="18"/>
                <w:szCs w:val="18"/>
              </w:rPr>
              <w:t>HoG</w:t>
            </w:r>
          </w:p>
        </w:tc>
        <w:tc>
          <w:tcPr>
            <w:tcW w:w="708" w:type="dxa"/>
            <w:tcBorders>
              <w:top w:val="single" w:sz="4" w:space="0" w:color="auto"/>
              <w:left w:val="single" w:sz="4" w:space="0" w:color="auto"/>
              <w:right w:val="single" w:sz="4" w:space="0" w:color="auto"/>
            </w:tcBorders>
          </w:tcPr>
          <w:p>
            <w:pPr>
              <w:spacing w:before="40" w:after="40" w:line="240" w:lineRule="auto"/>
              <w:jc w:val="center"/>
              <w:rPr>
                <w:sz w:val="18"/>
                <w:szCs w:val="18"/>
              </w:rPr>
            </w:pPr>
            <w:r>
              <w:rPr>
                <w:sz w:val="18"/>
                <w:szCs w:val="18"/>
              </w:rPr>
              <w:t>-</w:t>
            </w:r>
          </w:p>
        </w:tc>
      </w:tr>
      <w:tr>
        <w:trPr>
          <w:trHeight w:val="442"/>
        </w:trPr>
        <w:tc>
          <w:tcPr>
            <w:tcW w:w="6232" w:type="dxa"/>
            <w:tcBorders>
              <w:top w:val="single" w:sz="4" w:space="0" w:color="auto"/>
              <w:right w:val="single" w:sz="4" w:space="0" w:color="auto"/>
            </w:tcBorders>
            <w:vAlign w:val="center"/>
          </w:tcPr>
          <w:p>
            <w:pPr>
              <w:spacing w:before="40" w:after="40" w:line="240" w:lineRule="auto"/>
              <w:ind w:left="84"/>
              <w:rPr>
                <w:sz w:val="18"/>
                <w:szCs w:val="18"/>
                <w:lang w:val="en-AU"/>
              </w:rPr>
            </w:pPr>
            <w:r>
              <w:rPr>
                <w:sz w:val="18"/>
                <w:szCs w:val="18"/>
              </w:rPr>
              <w:t>Complaints relating to Council services, operational matters or customer service</w:t>
            </w:r>
          </w:p>
        </w:tc>
        <w:tc>
          <w:tcPr>
            <w:tcW w:w="930" w:type="dxa"/>
            <w:tcBorders>
              <w:top w:val="single" w:sz="4" w:space="0" w:color="auto"/>
              <w:left w:val="single" w:sz="4" w:space="0" w:color="auto"/>
              <w:right w:val="single" w:sz="4" w:space="0" w:color="auto"/>
            </w:tcBorders>
            <w:shd w:val="clear" w:color="auto" w:fill="958A7A"/>
            <w:vAlign w:val="center"/>
          </w:tcPr>
          <w:p>
            <w:pPr>
              <w:spacing w:before="40" w:after="40" w:line="240" w:lineRule="auto"/>
              <w:rPr>
                <w:sz w:val="18"/>
                <w:szCs w:val="18"/>
              </w:rPr>
            </w:pPr>
          </w:p>
        </w:tc>
        <w:tc>
          <w:tcPr>
            <w:tcW w:w="1051" w:type="dxa"/>
            <w:tcBorders>
              <w:top w:val="single" w:sz="4" w:space="0" w:color="auto"/>
              <w:left w:val="single" w:sz="4" w:space="0" w:color="auto"/>
              <w:right w:val="single" w:sz="4" w:space="0" w:color="auto"/>
            </w:tcBorders>
            <w:shd w:val="clear" w:color="auto" w:fill="F693B5"/>
            <w:vAlign w:val="center"/>
          </w:tcPr>
          <w:p>
            <w:pPr>
              <w:spacing w:before="40" w:after="40" w:line="240" w:lineRule="auto"/>
              <w:rPr>
                <w:sz w:val="18"/>
                <w:szCs w:val="18"/>
              </w:rPr>
            </w:pPr>
          </w:p>
        </w:tc>
        <w:tc>
          <w:tcPr>
            <w:tcW w:w="849" w:type="dxa"/>
            <w:tcBorders>
              <w:top w:val="single" w:sz="4" w:space="0" w:color="auto"/>
              <w:left w:val="single" w:sz="4" w:space="0" w:color="auto"/>
              <w:right w:val="single" w:sz="4" w:space="0" w:color="auto"/>
            </w:tcBorders>
            <w:vAlign w:val="center"/>
          </w:tcPr>
          <w:p>
            <w:pPr>
              <w:spacing w:before="40" w:after="40" w:line="240" w:lineRule="auto"/>
              <w:jc w:val="center"/>
              <w:rPr>
                <w:sz w:val="18"/>
                <w:szCs w:val="18"/>
              </w:rPr>
            </w:pPr>
            <w:r>
              <w:rPr>
                <w:sz w:val="18"/>
                <w:szCs w:val="18"/>
              </w:rPr>
              <w:t>HCBI</w:t>
            </w:r>
          </w:p>
        </w:tc>
        <w:tc>
          <w:tcPr>
            <w:tcW w:w="708" w:type="dxa"/>
            <w:tcBorders>
              <w:top w:val="single" w:sz="4" w:space="0" w:color="auto"/>
              <w:left w:val="single" w:sz="4" w:space="0" w:color="auto"/>
              <w:right w:val="single" w:sz="4" w:space="0" w:color="auto"/>
            </w:tcBorders>
          </w:tcPr>
          <w:p>
            <w:pPr>
              <w:spacing w:before="40" w:after="40" w:line="240" w:lineRule="auto"/>
              <w:jc w:val="center"/>
              <w:rPr>
                <w:sz w:val="18"/>
                <w:szCs w:val="18"/>
              </w:rPr>
            </w:pPr>
            <w:r>
              <w:rPr>
                <w:sz w:val="18"/>
                <w:szCs w:val="18"/>
              </w:rPr>
              <w:t>-</w:t>
            </w:r>
          </w:p>
        </w:tc>
      </w:tr>
      <w:tr>
        <w:trPr>
          <w:trHeight w:val="442"/>
        </w:trPr>
        <w:tc>
          <w:tcPr>
            <w:tcW w:w="6232" w:type="dxa"/>
            <w:tcBorders>
              <w:top w:val="single" w:sz="4" w:space="0" w:color="auto"/>
              <w:right w:val="single" w:sz="4" w:space="0" w:color="auto"/>
            </w:tcBorders>
            <w:vAlign w:val="center"/>
          </w:tcPr>
          <w:p>
            <w:pPr>
              <w:spacing w:before="40" w:after="40" w:line="240" w:lineRule="auto"/>
              <w:ind w:left="84"/>
              <w:rPr>
                <w:sz w:val="18"/>
                <w:szCs w:val="18"/>
              </w:rPr>
            </w:pPr>
            <w:r>
              <w:rPr>
                <w:sz w:val="18"/>
                <w:szCs w:val="18"/>
              </w:rPr>
              <w:t>Matters relating to Planning Committee meetings (including agenda items, planning reports, meeting procedures and planning committee business)</w:t>
            </w:r>
          </w:p>
        </w:tc>
        <w:tc>
          <w:tcPr>
            <w:tcW w:w="930" w:type="dxa"/>
            <w:tcBorders>
              <w:top w:val="single" w:sz="4" w:space="0" w:color="auto"/>
              <w:left w:val="single" w:sz="4" w:space="0" w:color="auto"/>
              <w:right w:val="single" w:sz="4" w:space="0" w:color="auto"/>
            </w:tcBorders>
            <w:shd w:val="clear" w:color="auto" w:fill="00B050"/>
            <w:vAlign w:val="center"/>
          </w:tcPr>
          <w:p>
            <w:pPr>
              <w:spacing w:before="40" w:after="40" w:line="240" w:lineRule="auto"/>
              <w:rPr>
                <w:sz w:val="18"/>
                <w:szCs w:val="18"/>
              </w:rPr>
            </w:pPr>
          </w:p>
        </w:tc>
        <w:tc>
          <w:tcPr>
            <w:tcW w:w="1051" w:type="dxa"/>
            <w:tcBorders>
              <w:top w:val="single" w:sz="4" w:space="0" w:color="auto"/>
              <w:left w:val="single" w:sz="4" w:space="0" w:color="auto"/>
              <w:right w:val="single" w:sz="4" w:space="0" w:color="auto"/>
            </w:tcBorders>
            <w:shd w:val="clear" w:color="auto" w:fill="6BEDFF"/>
            <w:vAlign w:val="center"/>
          </w:tcPr>
          <w:p>
            <w:pPr>
              <w:spacing w:before="40" w:after="40" w:line="240" w:lineRule="auto"/>
              <w:rPr>
                <w:sz w:val="18"/>
                <w:szCs w:val="18"/>
              </w:rPr>
            </w:pPr>
          </w:p>
        </w:tc>
        <w:tc>
          <w:tcPr>
            <w:tcW w:w="849" w:type="dxa"/>
            <w:tcBorders>
              <w:top w:val="single" w:sz="4" w:space="0" w:color="auto"/>
              <w:left w:val="single" w:sz="4" w:space="0" w:color="auto"/>
              <w:right w:val="single" w:sz="4" w:space="0" w:color="auto"/>
            </w:tcBorders>
            <w:vAlign w:val="center"/>
          </w:tcPr>
          <w:p>
            <w:pPr>
              <w:spacing w:before="40" w:after="40" w:line="240" w:lineRule="auto"/>
              <w:jc w:val="center"/>
              <w:rPr>
                <w:sz w:val="18"/>
                <w:szCs w:val="18"/>
              </w:rPr>
            </w:pPr>
            <w:r>
              <w:rPr>
                <w:sz w:val="18"/>
                <w:szCs w:val="18"/>
              </w:rPr>
              <w:t>-</w:t>
            </w:r>
          </w:p>
        </w:tc>
        <w:tc>
          <w:tcPr>
            <w:tcW w:w="708" w:type="dxa"/>
            <w:tcBorders>
              <w:top w:val="single" w:sz="4" w:space="0" w:color="auto"/>
              <w:left w:val="single" w:sz="4" w:space="0" w:color="auto"/>
              <w:right w:val="single" w:sz="4" w:space="0" w:color="auto"/>
            </w:tcBorders>
          </w:tcPr>
          <w:p>
            <w:pPr>
              <w:spacing w:before="40" w:after="40" w:line="240" w:lineRule="auto"/>
              <w:jc w:val="center"/>
              <w:rPr>
                <w:sz w:val="18"/>
                <w:szCs w:val="18"/>
              </w:rPr>
            </w:pPr>
            <w:r>
              <w:rPr>
                <w:sz w:val="18"/>
                <w:szCs w:val="18"/>
              </w:rPr>
              <w:t>-</w:t>
            </w:r>
          </w:p>
        </w:tc>
      </w:tr>
      <w:tr>
        <w:trPr>
          <w:trHeight w:val="295"/>
        </w:trPr>
        <w:tc>
          <w:tcPr>
            <w:tcW w:w="6232" w:type="dxa"/>
            <w:tcBorders>
              <w:top w:val="single" w:sz="4" w:space="0" w:color="auto"/>
              <w:right w:val="single" w:sz="4" w:space="0" w:color="auto"/>
            </w:tcBorders>
            <w:vAlign w:val="center"/>
          </w:tcPr>
          <w:p>
            <w:pPr>
              <w:spacing w:before="40" w:after="40" w:line="240" w:lineRule="auto"/>
              <w:ind w:left="84"/>
              <w:rPr>
                <w:sz w:val="18"/>
                <w:szCs w:val="18"/>
              </w:rPr>
            </w:pPr>
            <w:r>
              <w:rPr>
                <w:sz w:val="18"/>
                <w:szCs w:val="18"/>
              </w:rPr>
              <w:t>Welfare and HR Supports</w:t>
            </w:r>
          </w:p>
        </w:tc>
        <w:tc>
          <w:tcPr>
            <w:tcW w:w="930" w:type="dxa"/>
            <w:tcBorders>
              <w:top w:val="single" w:sz="4" w:space="0" w:color="auto"/>
              <w:left w:val="single" w:sz="4" w:space="0" w:color="auto"/>
              <w:right w:val="single" w:sz="4" w:space="0" w:color="auto"/>
            </w:tcBorders>
            <w:shd w:val="clear" w:color="auto" w:fill="00B050"/>
            <w:vAlign w:val="center"/>
          </w:tcPr>
          <w:p>
            <w:pPr>
              <w:spacing w:before="40" w:after="40" w:line="240" w:lineRule="auto"/>
              <w:rPr>
                <w:sz w:val="18"/>
                <w:szCs w:val="18"/>
              </w:rPr>
            </w:pPr>
          </w:p>
        </w:tc>
        <w:tc>
          <w:tcPr>
            <w:tcW w:w="1051" w:type="dxa"/>
            <w:tcBorders>
              <w:top w:val="single" w:sz="4" w:space="0" w:color="auto"/>
              <w:left w:val="single" w:sz="4" w:space="0" w:color="auto"/>
              <w:right w:val="single" w:sz="4" w:space="0" w:color="auto"/>
            </w:tcBorders>
            <w:shd w:val="clear" w:color="auto" w:fill="92D050"/>
            <w:vAlign w:val="center"/>
          </w:tcPr>
          <w:p>
            <w:pPr>
              <w:spacing w:before="40" w:after="40" w:line="240" w:lineRule="auto"/>
              <w:rPr>
                <w:sz w:val="18"/>
                <w:szCs w:val="18"/>
              </w:rPr>
            </w:pPr>
          </w:p>
        </w:tc>
        <w:tc>
          <w:tcPr>
            <w:tcW w:w="849" w:type="dxa"/>
            <w:tcBorders>
              <w:top w:val="single" w:sz="4" w:space="0" w:color="auto"/>
              <w:left w:val="single" w:sz="4" w:space="0" w:color="auto"/>
              <w:right w:val="single" w:sz="4" w:space="0" w:color="auto"/>
            </w:tcBorders>
            <w:vAlign w:val="center"/>
          </w:tcPr>
          <w:p>
            <w:pPr>
              <w:spacing w:before="40" w:after="40" w:line="240" w:lineRule="auto"/>
              <w:jc w:val="center"/>
              <w:rPr>
                <w:sz w:val="18"/>
                <w:szCs w:val="18"/>
              </w:rPr>
            </w:pPr>
            <w:r>
              <w:rPr>
                <w:sz w:val="18"/>
                <w:szCs w:val="18"/>
              </w:rPr>
              <w:t>PCS</w:t>
            </w:r>
          </w:p>
        </w:tc>
        <w:tc>
          <w:tcPr>
            <w:tcW w:w="708" w:type="dxa"/>
            <w:tcBorders>
              <w:top w:val="single" w:sz="4" w:space="0" w:color="auto"/>
              <w:left w:val="single" w:sz="4" w:space="0" w:color="auto"/>
              <w:right w:val="single" w:sz="4" w:space="0" w:color="auto"/>
            </w:tcBorders>
          </w:tcPr>
          <w:p>
            <w:pPr>
              <w:spacing w:before="40" w:after="40" w:line="240" w:lineRule="auto"/>
              <w:jc w:val="center"/>
              <w:rPr>
                <w:sz w:val="18"/>
                <w:szCs w:val="18"/>
              </w:rPr>
            </w:pPr>
            <w:r>
              <w:rPr>
                <w:sz w:val="18"/>
                <w:szCs w:val="18"/>
              </w:rPr>
              <w:t>-</w:t>
            </w:r>
          </w:p>
        </w:tc>
      </w:tr>
      <w:tr>
        <w:trPr>
          <w:trHeight w:val="401"/>
        </w:trPr>
        <w:tc>
          <w:tcPr>
            <w:tcW w:w="6232" w:type="dxa"/>
            <w:tcBorders>
              <w:top w:val="single" w:sz="4" w:space="0" w:color="auto"/>
              <w:right w:val="single" w:sz="4" w:space="0" w:color="auto"/>
            </w:tcBorders>
            <w:vAlign w:val="center"/>
          </w:tcPr>
          <w:p>
            <w:pPr>
              <w:spacing w:before="40" w:after="40" w:line="240" w:lineRule="auto"/>
              <w:ind w:left="84"/>
              <w:rPr>
                <w:sz w:val="18"/>
                <w:szCs w:val="18"/>
              </w:rPr>
            </w:pPr>
            <w:r>
              <w:rPr>
                <w:sz w:val="18"/>
                <w:szCs w:val="18"/>
              </w:rPr>
              <w:t>Councillor administrative matters, including invites, meeting requests, expense reimbursements and IT</w:t>
            </w:r>
          </w:p>
        </w:tc>
        <w:tc>
          <w:tcPr>
            <w:tcW w:w="930" w:type="dxa"/>
            <w:tcBorders>
              <w:top w:val="single" w:sz="4" w:space="0" w:color="auto"/>
              <w:left w:val="single" w:sz="4" w:space="0" w:color="auto"/>
              <w:right w:val="single" w:sz="4" w:space="0" w:color="auto"/>
            </w:tcBorders>
            <w:shd w:val="clear" w:color="auto" w:fill="958A7A"/>
            <w:vAlign w:val="center"/>
          </w:tcPr>
          <w:p>
            <w:pPr>
              <w:spacing w:before="40" w:after="40" w:line="240" w:lineRule="auto"/>
              <w:rPr>
                <w:sz w:val="18"/>
                <w:szCs w:val="18"/>
              </w:rPr>
            </w:pPr>
          </w:p>
        </w:tc>
        <w:tc>
          <w:tcPr>
            <w:tcW w:w="1051" w:type="dxa"/>
            <w:tcBorders>
              <w:top w:val="single" w:sz="4" w:space="0" w:color="auto"/>
              <w:left w:val="single" w:sz="4" w:space="0" w:color="auto"/>
              <w:right w:val="single" w:sz="4" w:space="0" w:color="auto"/>
            </w:tcBorders>
            <w:shd w:val="clear" w:color="auto" w:fill="D0CECE"/>
            <w:vAlign w:val="center"/>
          </w:tcPr>
          <w:p>
            <w:pPr>
              <w:spacing w:before="40" w:after="40" w:line="240" w:lineRule="auto"/>
              <w:rPr>
                <w:sz w:val="18"/>
                <w:szCs w:val="18"/>
              </w:rPr>
            </w:pPr>
          </w:p>
        </w:tc>
        <w:tc>
          <w:tcPr>
            <w:tcW w:w="849" w:type="dxa"/>
            <w:tcBorders>
              <w:top w:val="single" w:sz="4" w:space="0" w:color="auto"/>
              <w:left w:val="single" w:sz="4" w:space="0" w:color="auto"/>
              <w:right w:val="single" w:sz="4" w:space="0" w:color="auto"/>
            </w:tcBorders>
            <w:vAlign w:val="center"/>
          </w:tcPr>
          <w:p>
            <w:pPr>
              <w:spacing w:before="40" w:after="40" w:line="240" w:lineRule="auto"/>
              <w:jc w:val="center"/>
              <w:rPr>
                <w:sz w:val="18"/>
                <w:szCs w:val="18"/>
              </w:rPr>
            </w:pPr>
            <w:r>
              <w:rPr>
                <w:sz w:val="18"/>
                <w:szCs w:val="18"/>
              </w:rPr>
              <w:t>HOG</w:t>
            </w:r>
          </w:p>
        </w:tc>
        <w:tc>
          <w:tcPr>
            <w:tcW w:w="708" w:type="dxa"/>
            <w:tcBorders>
              <w:top w:val="single" w:sz="4" w:space="0" w:color="auto"/>
              <w:left w:val="single" w:sz="4" w:space="0" w:color="auto"/>
              <w:right w:val="single" w:sz="4" w:space="0" w:color="auto"/>
            </w:tcBorders>
            <w:shd w:val="clear" w:color="auto" w:fill="FFFF00"/>
          </w:tcPr>
          <w:p>
            <w:pPr>
              <w:spacing w:before="40" w:after="40" w:line="240" w:lineRule="auto"/>
              <w:jc w:val="center"/>
              <w:rPr>
                <w:sz w:val="18"/>
                <w:szCs w:val="18"/>
                <w:highlight w:val="yellow"/>
              </w:rPr>
            </w:pPr>
          </w:p>
        </w:tc>
      </w:tr>
      <w:tr>
        <w:trPr>
          <w:trHeight w:val="239"/>
        </w:trPr>
        <w:tc>
          <w:tcPr>
            <w:tcW w:w="6232" w:type="dxa"/>
            <w:tcBorders>
              <w:top w:val="single" w:sz="4" w:space="0" w:color="auto"/>
              <w:right w:val="single" w:sz="4" w:space="0" w:color="auto"/>
            </w:tcBorders>
            <w:vAlign w:val="center"/>
          </w:tcPr>
          <w:p>
            <w:pPr>
              <w:spacing w:before="40" w:after="40" w:line="240" w:lineRule="auto"/>
              <w:ind w:left="84"/>
              <w:rPr>
                <w:sz w:val="18"/>
                <w:szCs w:val="18"/>
              </w:rPr>
            </w:pPr>
            <w:r>
              <w:rPr>
                <w:sz w:val="18"/>
                <w:szCs w:val="18"/>
              </w:rPr>
              <w:t>IT technical issues</w:t>
            </w:r>
          </w:p>
        </w:tc>
        <w:tc>
          <w:tcPr>
            <w:tcW w:w="930" w:type="dxa"/>
            <w:tcBorders>
              <w:top w:val="single" w:sz="4" w:space="0" w:color="auto"/>
              <w:left w:val="single" w:sz="4" w:space="0" w:color="auto"/>
              <w:right w:val="single" w:sz="4" w:space="0" w:color="auto"/>
            </w:tcBorders>
            <w:shd w:val="clear" w:color="auto" w:fill="00B050"/>
            <w:vAlign w:val="center"/>
          </w:tcPr>
          <w:p>
            <w:pPr>
              <w:spacing w:before="40" w:after="40" w:line="240" w:lineRule="auto"/>
              <w:rPr>
                <w:sz w:val="18"/>
                <w:szCs w:val="18"/>
              </w:rPr>
            </w:pPr>
          </w:p>
        </w:tc>
        <w:tc>
          <w:tcPr>
            <w:tcW w:w="1051" w:type="dxa"/>
            <w:tcBorders>
              <w:top w:val="single" w:sz="4" w:space="0" w:color="auto"/>
              <w:left w:val="single" w:sz="4" w:space="0" w:color="auto"/>
              <w:right w:val="single" w:sz="4" w:space="0" w:color="auto"/>
            </w:tcBorders>
            <w:shd w:val="clear" w:color="auto" w:fill="FF0000"/>
            <w:vAlign w:val="center"/>
          </w:tcPr>
          <w:p>
            <w:pPr>
              <w:spacing w:before="40" w:after="40" w:line="240" w:lineRule="auto"/>
              <w:rPr>
                <w:sz w:val="18"/>
                <w:szCs w:val="18"/>
              </w:rPr>
            </w:pPr>
          </w:p>
        </w:tc>
        <w:tc>
          <w:tcPr>
            <w:tcW w:w="849" w:type="dxa"/>
            <w:tcBorders>
              <w:top w:val="single" w:sz="4" w:space="0" w:color="auto"/>
              <w:left w:val="single" w:sz="4" w:space="0" w:color="auto"/>
              <w:right w:val="single" w:sz="4" w:space="0" w:color="auto"/>
            </w:tcBorders>
            <w:vAlign w:val="center"/>
          </w:tcPr>
          <w:p>
            <w:pPr>
              <w:spacing w:before="40" w:after="40" w:line="240" w:lineRule="auto"/>
              <w:jc w:val="center"/>
              <w:rPr>
                <w:sz w:val="18"/>
                <w:szCs w:val="18"/>
              </w:rPr>
            </w:pPr>
            <w:r>
              <w:rPr>
                <w:sz w:val="18"/>
                <w:szCs w:val="18"/>
              </w:rPr>
              <w:t>DTS</w:t>
            </w:r>
          </w:p>
        </w:tc>
        <w:tc>
          <w:tcPr>
            <w:tcW w:w="708" w:type="dxa"/>
            <w:tcBorders>
              <w:top w:val="single" w:sz="4" w:space="0" w:color="auto"/>
              <w:left w:val="single" w:sz="4" w:space="0" w:color="auto"/>
              <w:right w:val="single" w:sz="4" w:space="0" w:color="auto"/>
            </w:tcBorders>
            <w:shd w:val="clear" w:color="auto" w:fill="FFFF00"/>
          </w:tcPr>
          <w:p>
            <w:pPr>
              <w:spacing w:before="40" w:after="40" w:line="240" w:lineRule="auto"/>
              <w:jc w:val="center"/>
              <w:rPr>
                <w:sz w:val="18"/>
                <w:szCs w:val="18"/>
                <w:highlight w:val="yellow"/>
              </w:rPr>
            </w:pPr>
          </w:p>
        </w:tc>
      </w:tr>
      <w:tr>
        <w:trPr>
          <w:trHeight w:val="13"/>
        </w:trPr>
        <w:tc>
          <w:tcPr>
            <w:tcW w:w="6232" w:type="dxa"/>
            <w:tcBorders>
              <w:top w:val="single" w:sz="4" w:space="0" w:color="auto"/>
              <w:right w:val="single" w:sz="4" w:space="0" w:color="auto"/>
            </w:tcBorders>
            <w:vAlign w:val="center"/>
          </w:tcPr>
          <w:p>
            <w:pPr>
              <w:spacing w:before="40" w:after="40" w:line="240" w:lineRule="auto"/>
              <w:ind w:left="84"/>
              <w:rPr>
                <w:sz w:val="18"/>
                <w:szCs w:val="18"/>
              </w:rPr>
            </w:pPr>
            <w:r>
              <w:rPr>
                <w:sz w:val="18"/>
                <w:szCs w:val="18"/>
              </w:rPr>
              <w:t>Advisory Committee and Reference Group administration (calendar entries, business papers)</w:t>
            </w:r>
          </w:p>
        </w:tc>
        <w:tc>
          <w:tcPr>
            <w:tcW w:w="930" w:type="dxa"/>
            <w:tcBorders>
              <w:top w:val="single" w:sz="4" w:space="0" w:color="auto"/>
              <w:left w:val="single" w:sz="4" w:space="0" w:color="auto"/>
              <w:right w:val="single" w:sz="4" w:space="0" w:color="auto"/>
            </w:tcBorders>
            <w:shd w:val="clear" w:color="auto" w:fill="FAA163"/>
            <w:vAlign w:val="center"/>
          </w:tcPr>
          <w:p>
            <w:pPr>
              <w:spacing w:before="40" w:after="40" w:line="240" w:lineRule="auto"/>
              <w:ind w:left="13" w:right="1"/>
              <w:rPr>
                <w:sz w:val="18"/>
                <w:szCs w:val="18"/>
              </w:rPr>
            </w:pPr>
          </w:p>
        </w:tc>
        <w:tc>
          <w:tcPr>
            <w:tcW w:w="1051" w:type="dxa"/>
            <w:tcBorders>
              <w:top w:val="single" w:sz="4" w:space="0" w:color="auto"/>
              <w:left w:val="single" w:sz="4" w:space="0" w:color="auto"/>
              <w:right w:val="single" w:sz="4" w:space="0" w:color="auto"/>
            </w:tcBorders>
            <w:shd w:val="clear" w:color="auto" w:fill="7030A0"/>
            <w:vAlign w:val="center"/>
          </w:tcPr>
          <w:p>
            <w:pPr>
              <w:spacing w:before="40" w:after="40" w:line="240" w:lineRule="auto"/>
              <w:rPr>
                <w:sz w:val="18"/>
                <w:szCs w:val="18"/>
              </w:rPr>
            </w:pPr>
          </w:p>
        </w:tc>
        <w:tc>
          <w:tcPr>
            <w:tcW w:w="849" w:type="dxa"/>
            <w:tcBorders>
              <w:top w:val="single" w:sz="4" w:space="0" w:color="auto"/>
              <w:left w:val="single" w:sz="4" w:space="0" w:color="auto"/>
              <w:right w:val="single" w:sz="4" w:space="0" w:color="auto"/>
            </w:tcBorders>
            <w:vAlign w:val="center"/>
          </w:tcPr>
          <w:p>
            <w:pPr>
              <w:spacing w:before="40" w:after="40" w:line="240" w:lineRule="auto"/>
              <w:jc w:val="center"/>
              <w:rPr>
                <w:sz w:val="18"/>
                <w:szCs w:val="18"/>
              </w:rPr>
            </w:pPr>
            <w:r>
              <w:rPr>
                <w:sz w:val="18"/>
                <w:szCs w:val="18"/>
              </w:rPr>
              <w:t>CDEI</w:t>
            </w:r>
          </w:p>
          <w:p>
            <w:pPr>
              <w:spacing w:before="40" w:after="40" w:line="240" w:lineRule="auto"/>
              <w:jc w:val="center"/>
              <w:rPr>
                <w:sz w:val="18"/>
                <w:szCs w:val="18"/>
              </w:rPr>
            </w:pPr>
          </w:p>
        </w:tc>
        <w:tc>
          <w:tcPr>
            <w:tcW w:w="708" w:type="dxa"/>
            <w:tcBorders>
              <w:top w:val="single" w:sz="4" w:space="0" w:color="auto"/>
              <w:left w:val="single" w:sz="4" w:space="0" w:color="auto"/>
              <w:right w:val="single" w:sz="4" w:space="0" w:color="auto"/>
            </w:tcBorders>
            <w:shd w:val="clear" w:color="auto" w:fill="FFFF00"/>
          </w:tcPr>
          <w:p>
            <w:pPr>
              <w:spacing w:before="40" w:after="40" w:line="240" w:lineRule="auto"/>
              <w:jc w:val="center"/>
              <w:rPr>
                <w:sz w:val="18"/>
                <w:szCs w:val="18"/>
                <w:highlight w:val="yellow"/>
              </w:rPr>
            </w:pPr>
          </w:p>
        </w:tc>
      </w:tr>
    </w:tbl>
    <w:tbl>
      <w:tblPr>
        <w:tblStyle w:val="TableGrid"/>
        <w:tblW w:w="9770" w:type="dxa"/>
        <w:tblLayout w:type="fixed"/>
        <w:tblLook w:val="04A0" w:firstRow="1" w:lastRow="0" w:firstColumn="1" w:lastColumn="0" w:noHBand="0" w:noVBand="1"/>
      </w:tblPr>
      <w:tblGrid>
        <w:gridCol w:w="259"/>
        <w:gridCol w:w="2561"/>
        <w:gridCol w:w="269"/>
        <w:gridCol w:w="2426"/>
        <w:gridCol w:w="561"/>
        <w:gridCol w:w="3694"/>
      </w:tblGrid>
      <w:tr>
        <w:trPr>
          <w:trHeight w:val="163"/>
        </w:trPr>
        <w:tc>
          <w:tcPr>
            <w:tcW w:w="2820" w:type="dxa"/>
            <w:gridSpan w:val="2"/>
          </w:tcPr>
          <w:p>
            <w:pPr>
              <w:spacing w:before="40" w:after="40" w:line="240" w:lineRule="auto"/>
              <w:rPr>
                <w:rFonts w:cs="Arial"/>
                <w:b/>
                <w:bCs/>
                <w:sz w:val="14"/>
                <w:szCs w:val="14"/>
              </w:rPr>
            </w:pPr>
            <w:r>
              <w:rPr>
                <w:b/>
                <w:bCs/>
                <w:sz w:val="14"/>
                <w:szCs w:val="14"/>
              </w:rPr>
              <w:t>Relevant General Manger</w:t>
            </w:r>
          </w:p>
        </w:tc>
        <w:tc>
          <w:tcPr>
            <w:tcW w:w="2695" w:type="dxa"/>
            <w:gridSpan w:val="2"/>
          </w:tcPr>
          <w:p>
            <w:pPr>
              <w:spacing w:before="40" w:after="40" w:line="240" w:lineRule="auto"/>
              <w:rPr>
                <w:rFonts w:cs="Arial"/>
                <w:b/>
                <w:bCs/>
                <w:sz w:val="14"/>
                <w:szCs w:val="14"/>
              </w:rPr>
            </w:pPr>
            <w:r>
              <w:rPr>
                <w:b/>
                <w:bCs/>
                <w:sz w:val="14"/>
                <w:szCs w:val="14"/>
              </w:rPr>
              <w:t>Relevant Manager</w:t>
            </w:r>
          </w:p>
        </w:tc>
        <w:tc>
          <w:tcPr>
            <w:tcW w:w="4255" w:type="dxa"/>
            <w:gridSpan w:val="2"/>
          </w:tcPr>
          <w:p>
            <w:pPr>
              <w:spacing w:before="40" w:after="40" w:line="240" w:lineRule="auto"/>
              <w:rPr>
                <w:rFonts w:cs="Arial"/>
                <w:b/>
                <w:bCs/>
                <w:sz w:val="14"/>
                <w:szCs w:val="14"/>
              </w:rPr>
            </w:pPr>
            <w:r>
              <w:rPr>
                <w:b/>
                <w:bCs/>
                <w:sz w:val="14"/>
                <w:szCs w:val="14"/>
              </w:rPr>
              <w:t xml:space="preserve">Business Area – See Table 3</w:t>
            </w:r>
          </w:p>
        </w:tc>
      </w:tr>
      <w:tr>
        <w:trPr>
          <w:trHeight w:val="163"/>
        </w:trPr>
        <w:tc>
          <w:tcPr>
            <w:tcW w:w="259" w:type="dxa"/>
            <w:shd w:val="clear" w:color="auto" w:fill="958A7A"/>
          </w:tcPr>
          <w:p>
            <w:pPr>
              <w:spacing w:before="40" w:after="40" w:line="240" w:lineRule="auto"/>
              <w:rPr>
                <w:rFonts w:cs="Arial"/>
                <w:sz w:val="14"/>
                <w:szCs w:val="14"/>
              </w:rPr>
            </w:pPr>
          </w:p>
        </w:tc>
        <w:tc>
          <w:tcPr>
            <w:tcW w:w="2561" w:type="dxa"/>
          </w:tcPr>
          <w:p>
            <w:pPr>
              <w:spacing w:before="40" w:after="40" w:line="240" w:lineRule="auto"/>
              <w:rPr>
                <w:rFonts w:cs="Arial"/>
                <w:sz w:val="14"/>
                <w:szCs w:val="14"/>
              </w:rPr>
            </w:pPr>
            <w:r>
              <w:rPr>
                <w:sz w:val="14"/>
                <w:szCs w:val="14"/>
              </w:rPr>
              <w:t>GM Governance and Performance</w:t>
            </w:r>
          </w:p>
        </w:tc>
        <w:tc>
          <w:tcPr>
            <w:tcW w:w="269" w:type="dxa"/>
            <w:shd w:val="clear" w:color="auto" w:fill="D0CECE"/>
          </w:tcPr>
          <w:p>
            <w:pPr>
              <w:spacing w:before="40" w:after="40" w:line="240" w:lineRule="auto"/>
              <w:rPr>
                <w:rFonts w:cs="Arial"/>
                <w:sz w:val="14"/>
                <w:szCs w:val="14"/>
              </w:rPr>
            </w:pPr>
          </w:p>
        </w:tc>
        <w:tc>
          <w:tcPr>
            <w:tcW w:w="2426" w:type="dxa"/>
          </w:tcPr>
          <w:p>
            <w:pPr>
              <w:spacing w:before="40" w:after="40" w:line="240" w:lineRule="auto"/>
              <w:rPr>
                <w:rFonts w:cs="Arial"/>
                <w:sz w:val="14"/>
                <w:szCs w:val="14"/>
              </w:rPr>
            </w:pPr>
            <w:r>
              <w:rPr>
                <w:sz w:val="14"/>
                <w:szCs w:val="14"/>
              </w:rPr>
              <w:t>Communications and Governance</w:t>
            </w:r>
          </w:p>
        </w:tc>
        <w:tc>
          <w:tcPr>
            <w:tcW w:w="561" w:type="dxa"/>
          </w:tcPr>
          <w:p>
            <w:pPr>
              <w:spacing w:before="40" w:after="40" w:line="240" w:lineRule="auto"/>
              <w:rPr>
                <w:rFonts w:cs="Arial"/>
                <w:b/>
                <w:bCs/>
                <w:sz w:val="14"/>
                <w:szCs w:val="14"/>
              </w:rPr>
            </w:pPr>
            <w:r>
              <w:rPr>
                <w:b/>
                <w:bCs/>
                <w:sz w:val="14"/>
                <w:szCs w:val="14"/>
              </w:rPr>
              <w:t>CM</w:t>
            </w:r>
          </w:p>
        </w:tc>
        <w:tc>
          <w:tcPr>
            <w:tcW w:w="3694" w:type="dxa"/>
          </w:tcPr>
          <w:p>
            <w:pPr>
              <w:spacing w:before="40" w:after="40" w:line="240" w:lineRule="auto"/>
              <w:jc w:val="both"/>
              <w:rPr>
                <w:rFonts w:cs="Arial"/>
                <w:sz w:val="14"/>
                <w:szCs w:val="14"/>
              </w:rPr>
            </w:pPr>
            <w:r>
              <w:rPr>
                <w:sz w:val="14"/>
                <w:szCs w:val="14"/>
              </w:rPr>
              <w:t>Coordinator Media</w:t>
            </w:r>
          </w:p>
        </w:tc>
      </w:tr>
      <w:tr>
        <w:trPr>
          <w:trHeight w:val="163"/>
        </w:trPr>
        <w:tc>
          <w:tcPr>
            <w:tcW w:w="259" w:type="dxa"/>
            <w:shd w:val="clear" w:color="auto" w:fill="0070C0"/>
          </w:tcPr>
          <w:p>
            <w:pPr>
              <w:spacing w:before="40" w:after="40" w:line="240" w:lineRule="auto"/>
              <w:rPr>
                <w:rFonts w:cs="Arial"/>
                <w:sz w:val="14"/>
                <w:szCs w:val="14"/>
              </w:rPr>
            </w:pPr>
          </w:p>
        </w:tc>
        <w:tc>
          <w:tcPr>
            <w:tcW w:w="2561" w:type="dxa"/>
          </w:tcPr>
          <w:p>
            <w:pPr>
              <w:spacing w:before="40" w:after="40" w:line="240" w:lineRule="auto"/>
              <w:rPr>
                <w:rFonts w:cs="Arial"/>
                <w:sz w:val="14"/>
                <w:szCs w:val="14"/>
              </w:rPr>
            </w:pPr>
            <w:r>
              <w:rPr>
                <w:sz w:val="14"/>
                <w:szCs w:val="14"/>
              </w:rPr>
              <w:t>GM City Development</w:t>
            </w:r>
          </w:p>
        </w:tc>
        <w:tc>
          <w:tcPr>
            <w:tcW w:w="269" w:type="dxa"/>
            <w:shd w:val="clear" w:color="auto" w:fill="6BEDFF"/>
          </w:tcPr>
          <w:p>
            <w:pPr>
              <w:spacing w:before="40" w:after="40" w:line="240" w:lineRule="auto"/>
              <w:rPr>
                <w:rFonts w:cs="Arial"/>
                <w:sz w:val="14"/>
                <w:szCs w:val="14"/>
              </w:rPr>
            </w:pPr>
          </w:p>
        </w:tc>
        <w:tc>
          <w:tcPr>
            <w:tcW w:w="2426" w:type="dxa"/>
          </w:tcPr>
          <w:p>
            <w:pPr>
              <w:spacing w:before="40" w:after="40" w:line="240" w:lineRule="auto"/>
              <w:rPr>
                <w:rFonts w:cs="Arial"/>
                <w:sz w:val="14"/>
                <w:szCs w:val="14"/>
              </w:rPr>
            </w:pPr>
            <w:r>
              <w:rPr>
                <w:sz w:val="14"/>
                <w:szCs w:val="14"/>
              </w:rPr>
              <w:t>Building and Planning</w:t>
            </w:r>
          </w:p>
        </w:tc>
        <w:tc>
          <w:tcPr>
            <w:tcW w:w="561" w:type="dxa"/>
          </w:tcPr>
          <w:p>
            <w:pPr>
              <w:spacing w:before="40" w:after="40" w:line="240" w:lineRule="auto"/>
              <w:rPr>
                <w:rFonts w:cs="Arial"/>
                <w:b/>
                <w:bCs/>
                <w:sz w:val="14"/>
                <w:szCs w:val="14"/>
              </w:rPr>
            </w:pPr>
            <w:r>
              <w:rPr>
                <w:b/>
                <w:bCs/>
                <w:sz w:val="14"/>
                <w:szCs w:val="14"/>
              </w:rPr>
              <w:t>HOG</w:t>
            </w:r>
          </w:p>
        </w:tc>
        <w:tc>
          <w:tcPr>
            <w:tcW w:w="3694" w:type="dxa"/>
          </w:tcPr>
          <w:p>
            <w:pPr>
              <w:spacing w:before="40" w:after="40" w:line="240" w:lineRule="auto"/>
              <w:jc w:val="both"/>
              <w:rPr>
                <w:rFonts w:cs="Arial"/>
                <w:sz w:val="14"/>
                <w:szCs w:val="14"/>
              </w:rPr>
            </w:pPr>
            <w:r>
              <w:rPr>
                <w:sz w:val="14"/>
                <w:szCs w:val="14"/>
              </w:rPr>
              <w:t>Head of Governance</w:t>
            </w:r>
          </w:p>
        </w:tc>
      </w:tr>
      <w:tr>
        <w:trPr>
          <w:trHeight w:val="163"/>
        </w:trPr>
        <w:tc>
          <w:tcPr>
            <w:tcW w:w="259" w:type="dxa"/>
            <w:shd w:val="clear" w:color="auto" w:fill="FAA163"/>
          </w:tcPr>
          <w:p>
            <w:pPr>
              <w:spacing w:before="40" w:after="40" w:line="240" w:lineRule="auto"/>
              <w:rPr>
                <w:rFonts w:cs="Arial"/>
                <w:sz w:val="14"/>
                <w:szCs w:val="14"/>
              </w:rPr>
            </w:pPr>
          </w:p>
        </w:tc>
        <w:tc>
          <w:tcPr>
            <w:tcW w:w="2561" w:type="dxa"/>
          </w:tcPr>
          <w:p>
            <w:pPr>
              <w:spacing w:before="40" w:after="40" w:line="240" w:lineRule="auto"/>
              <w:rPr>
                <w:rFonts w:cs="Arial"/>
                <w:sz w:val="14"/>
                <w:szCs w:val="14"/>
              </w:rPr>
            </w:pPr>
            <w:r>
              <w:rPr>
                <w:sz w:val="14"/>
                <w:szCs w:val="14"/>
              </w:rPr>
              <w:t>GM Community and Inclusion</w:t>
            </w:r>
          </w:p>
        </w:tc>
        <w:tc>
          <w:tcPr>
            <w:tcW w:w="269" w:type="dxa"/>
            <w:shd w:val="clear" w:color="auto" w:fill="F693B5"/>
          </w:tcPr>
          <w:p>
            <w:pPr>
              <w:spacing w:before="40" w:after="40" w:line="240" w:lineRule="auto"/>
              <w:rPr>
                <w:rFonts w:cs="Arial"/>
                <w:sz w:val="14"/>
                <w:szCs w:val="14"/>
              </w:rPr>
            </w:pPr>
          </w:p>
        </w:tc>
        <w:tc>
          <w:tcPr>
            <w:tcW w:w="2426" w:type="dxa"/>
          </w:tcPr>
          <w:p>
            <w:pPr>
              <w:spacing w:before="40" w:after="40" w:line="240" w:lineRule="auto"/>
              <w:rPr>
                <w:rFonts w:cs="Arial"/>
                <w:sz w:val="14"/>
                <w:szCs w:val="14"/>
              </w:rPr>
            </w:pPr>
            <w:r>
              <w:rPr>
                <w:sz w:val="14"/>
                <w:szCs w:val="14"/>
              </w:rPr>
              <w:t>Chief Customer Officer</w:t>
            </w:r>
          </w:p>
        </w:tc>
        <w:tc>
          <w:tcPr>
            <w:tcW w:w="561" w:type="dxa"/>
          </w:tcPr>
          <w:p>
            <w:pPr>
              <w:spacing w:before="40" w:after="40" w:line="240" w:lineRule="auto"/>
              <w:rPr>
                <w:rFonts w:cs="Arial"/>
                <w:b/>
                <w:bCs/>
                <w:sz w:val="14"/>
                <w:szCs w:val="14"/>
              </w:rPr>
            </w:pPr>
            <w:r>
              <w:rPr>
                <w:b/>
                <w:bCs/>
                <w:sz w:val="14"/>
                <w:szCs w:val="14"/>
              </w:rPr>
              <w:t>CAP</w:t>
            </w:r>
          </w:p>
        </w:tc>
        <w:tc>
          <w:tcPr>
            <w:tcW w:w="3694" w:type="dxa"/>
          </w:tcPr>
          <w:p>
            <w:pPr>
              <w:spacing w:before="40" w:after="40" w:line="240" w:lineRule="auto"/>
              <w:jc w:val="both"/>
              <w:rPr>
                <w:rFonts w:cs="Arial"/>
                <w:sz w:val="14"/>
                <w:szCs w:val="14"/>
              </w:rPr>
            </w:pPr>
            <w:r>
              <w:rPr>
                <w:sz w:val="14"/>
                <w:szCs w:val="14"/>
              </w:rPr>
              <w:t xml:space="preserve">Coordinator Advocacy and Partnerships</w:t>
            </w:r>
          </w:p>
        </w:tc>
      </w:tr>
      <w:tr>
        <w:trPr>
          <w:trHeight w:val="163"/>
        </w:trPr>
        <w:tc>
          <w:tcPr>
            <w:tcW w:w="259" w:type="dxa"/>
          </w:tcPr>
          <w:p>
            <w:pPr>
              <w:spacing w:before="40" w:after="40" w:line="240" w:lineRule="auto"/>
              <w:rPr>
                <w:rFonts w:cs="Arial"/>
                <w:sz w:val="14"/>
                <w:szCs w:val="14"/>
              </w:rPr>
            </w:pPr>
          </w:p>
        </w:tc>
        <w:tc>
          <w:tcPr>
            <w:tcW w:w="2561" w:type="dxa"/>
          </w:tcPr>
          <w:p>
            <w:pPr>
              <w:spacing w:before="40" w:after="40" w:line="240" w:lineRule="auto"/>
              <w:rPr>
                <w:rFonts w:cs="Arial"/>
                <w:sz w:val="14"/>
                <w:szCs w:val="14"/>
              </w:rPr>
            </w:pPr>
            <w:r>
              <w:rPr>
                <w:sz w:val="14"/>
                <w:szCs w:val="14"/>
              </w:rPr>
              <w:t>GM Operations and infrastructure</w:t>
            </w:r>
          </w:p>
        </w:tc>
        <w:tc>
          <w:tcPr>
            <w:tcW w:w="269" w:type="dxa"/>
            <w:shd w:val="clear" w:color="auto" w:fill="7030A0"/>
          </w:tcPr>
          <w:p>
            <w:pPr>
              <w:spacing w:before="40" w:after="40" w:line="240" w:lineRule="auto"/>
              <w:rPr>
                <w:rFonts w:cs="Arial"/>
                <w:sz w:val="14"/>
                <w:szCs w:val="14"/>
              </w:rPr>
            </w:pPr>
          </w:p>
        </w:tc>
        <w:tc>
          <w:tcPr>
            <w:tcW w:w="2426" w:type="dxa"/>
          </w:tcPr>
          <w:p>
            <w:pPr>
              <w:spacing w:before="40" w:after="40" w:line="240" w:lineRule="auto"/>
              <w:rPr>
                <w:rFonts w:cs="Arial"/>
                <w:sz w:val="14"/>
                <w:szCs w:val="14"/>
              </w:rPr>
            </w:pPr>
            <w:r>
              <w:rPr>
                <w:sz w:val="14"/>
                <w:szCs w:val="14"/>
              </w:rPr>
              <w:t>Community Building and Inclusion</w:t>
            </w:r>
          </w:p>
        </w:tc>
        <w:tc>
          <w:tcPr>
            <w:tcW w:w="561" w:type="dxa"/>
          </w:tcPr>
          <w:p>
            <w:pPr>
              <w:spacing w:before="40" w:after="40" w:line="240" w:lineRule="auto"/>
              <w:rPr>
                <w:rFonts w:cs="Arial"/>
                <w:b/>
                <w:bCs/>
                <w:sz w:val="14"/>
                <w:szCs w:val="14"/>
              </w:rPr>
            </w:pPr>
            <w:r>
              <w:rPr>
                <w:b/>
                <w:bCs/>
                <w:sz w:val="14"/>
                <w:szCs w:val="14"/>
              </w:rPr>
              <w:t>HCBI</w:t>
            </w:r>
          </w:p>
        </w:tc>
        <w:tc>
          <w:tcPr>
            <w:tcW w:w="3694" w:type="dxa"/>
          </w:tcPr>
          <w:p>
            <w:pPr>
              <w:spacing w:before="40" w:after="40" w:line="240" w:lineRule="auto"/>
              <w:jc w:val="both"/>
              <w:rPr>
                <w:rFonts w:cs="Arial"/>
                <w:sz w:val="14"/>
                <w:szCs w:val="14"/>
              </w:rPr>
            </w:pPr>
            <w:r>
              <w:rPr>
                <w:sz w:val="14"/>
                <w:szCs w:val="14"/>
              </w:rPr>
              <w:t>Head of Customer and Business Improvement</w:t>
            </w:r>
          </w:p>
        </w:tc>
      </w:tr>
      <w:tr>
        <w:trPr>
          <w:trHeight w:val="163"/>
        </w:trPr>
        <w:tc>
          <w:tcPr>
            <w:tcW w:w="259" w:type="dxa"/>
            <w:shd w:val="clear" w:color="auto" w:fill="00B050"/>
          </w:tcPr>
          <w:p>
            <w:pPr>
              <w:spacing w:before="40" w:after="40" w:line="240" w:lineRule="auto"/>
              <w:rPr>
                <w:rFonts w:cs="Arial"/>
                <w:sz w:val="14"/>
                <w:szCs w:val="14"/>
              </w:rPr>
            </w:pPr>
          </w:p>
        </w:tc>
        <w:tc>
          <w:tcPr>
            <w:tcW w:w="2561" w:type="dxa"/>
          </w:tcPr>
          <w:p>
            <w:pPr>
              <w:spacing w:before="40" w:after="40" w:line="240" w:lineRule="auto"/>
              <w:rPr>
                <w:rFonts w:cs="Arial"/>
                <w:sz w:val="14"/>
                <w:szCs w:val="14"/>
              </w:rPr>
            </w:pPr>
            <w:r>
              <w:rPr>
                <w:sz w:val="14"/>
                <w:szCs w:val="14"/>
              </w:rPr>
              <w:t>GM Director People and Experience</w:t>
            </w:r>
          </w:p>
        </w:tc>
        <w:tc>
          <w:tcPr>
            <w:tcW w:w="269" w:type="dxa"/>
            <w:shd w:val="clear" w:color="auto" w:fill="92D050"/>
          </w:tcPr>
          <w:p>
            <w:pPr>
              <w:spacing w:before="40" w:after="40" w:line="240" w:lineRule="auto"/>
              <w:rPr>
                <w:rFonts w:cs="Arial"/>
                <w:sz w:val="14"/>
                <w:szCs w:val="14"/>
              </w:rPr>
            </w:pPr>
          </w:p>
        </w:tc>
        <w:tc>
          <w:tcPr>
            <w:tcW w:w="2426" w:type="dxa"/>
          </w:tcPr>
          <w:p>
            <w:pPr>
              <w:spacing w:before="40" w:after="40" w:line="240" w:lineRule="auto"/>
              <w:rPr>
                <w:rFonts w:cs="Arial"/>
                <w:sz w:val="14"/>
                <w:szCs w:val="14"/>
              </w:rPr>
            </w:pPr>
            <w:r>
              <w:rPr>
                <w:sz w:val="14"/>
                <w:szCs w:val="14"/>
              </w:rPr>
              <w:t>Chief People Officer</w:t>
            </w:r>
          </w:p>
        </w:tc>
        <w:tc>
          <w:tcPr>
            <w:tcW w:w="561" w:type="dxa"/>
          </w:tcPr>
          <w:p>
            <w:pPr>
              <w:spacing w:before="40" w:after="40" w:line="240" w:lineRule="auto"/>
              <w:rPr>
                <w:rFonts w:cs="Arial"/>
                <w:b/>
                <w:bCs/>
                <w:sz w:val="14"/>
                <w:szCs w:val="14"/>
              </w:rPr>
            </w:pPr>
            <w:r>
              <w:rPr>
                <w:b/>
                <w:bCs/>
                <w:sz w:val="14"/>
                <w:szCs w:val="14"/>
              </w:rPr>
              <w:t>CET</w:t>
            </w:r>
          </w:p>
        </w:tc>
        <w:tc>
          <w:tcPr>
            <w:tcW w:w="3694" w:type="dxa"/>
          </w:tcPr>
          <w:p>
            <w:pPr>
              <w:spacing w:before="40" w:after="40" w:line="240" w:lineRule="auto"/>
              <w:jc w:val="both"/>
              <w:rPr>
                <w:rFonts w:cs="Arial"/>
                <w:sz w:val="14"/>
                <w:szCs w:val="14"/>
              </w:rPr>
            </w:pPr>
            <w:r>
              <w:rPr>
                <w:sz w:val="14"/>
                <w:szCs w:val="14"/>
              </w:rPr>
              <w:t>Customer Experience and Transformation, DTS</w:t>
            </w:r>
          </w:p>
        </w:tc>
      </w:tr>
      <w:tr>
        <w:trPr>
          <w:trHeight w:val="163"/>
        </w:trPr>
        <w:tc>
          <w:tcPr>
            <w:tcW w:w="259" w:type="dxa"/>
          </w:tcPr>
          <w:p>
            <w:pPr>
              <w:spacing w:before="40" w:after="40" w:line="240" w:lineRule="auto"/>
              <w:rPr>
                <w:rFonts w:cs="Arial"/>
                <w:sz w:val="14"/>
                <w:szCs w:val="14"/>
              </w:rPr>
            </w:pPr>
          </w:p>
        </w:tc>
        <w:tc>
          <w:tcPr>
            <w:tcW w:w="2561" w:type="dxa"/>
          </w:tcPr>
          <w:p>
            <w:pPr>
              <w:spacing w:before="40" w:after="40" w:line="240" w:lineRule="auto"/>
              <w:rPr>
                <w:rFonts w:cs="Arial"/>
                <w:sz w:val="14"/>
                <w:szCs w:val="14"/>
              </w:rPr>
            </w:pPr>
          </w:p>
        </w:tc>
        <w:tc>
          <w:tcPr>
            <w:tcW w:w="269" w:type="dxa"/>
            <w:shd w:val="clear" w:color="auto" w:fill="FF0000"/>
          </w:tcPr>
          <w:p>
            <w:pPr>
              <w:spacing w:before="40" w:after="40" w:line="240" w:lineRule="auto"/>
              <w:rPr>
                <w:rFonts w:cs="Arial"/>
                <w:sz w:val="14"/>
                <w:szCs w:val="14"/>
              </w:rPr>
            </w:pPr>
          </w:p>
        </w:tc>
        <w:tc>
          <w:tcPr>
            <w:tcW w:w="2426" w:type="dxa"/>
          </w:tcPr>
          <w:p>
            <w:pPr>
              <w:spacing w:before="40" w:after="40" w:line="240" w:lineRule="auto"/>
              <w:rPr>
                <w:rFonts w:cs="Arial"/>
                <w:sz w:val="14"/>
                <w:szCs w:val="14"/>
              </w:rPr>
            </w:pPr>
            <w:r>
              <w:rPr>
                <w:sz w:val="14"/>
                <w:szCs w:val="14"/>
              </w:rPr>
              <w:t>Chief Information Officer</w:t>
            </w:r>
          </w:p>
        </w:tc>
        <w:tc>
          <w:tcPr>
            <w:tcW w:w="561" w:type="dxa"/>
          </w:tcPr>
          <w:p>
            <w:pPr>
              <w:spacing w:before="40" w:after="40" w:line="240" w:lineRule="auto"/>
              <w:rPr>
                <w:rFonts w:cs="Arial"/>
                <w:b/>
                <w:bCs/>
                <w:sz w:val="14"/>
                <w:szCs w:val="14"/>
              </w:rPr>
            </w:pPr>
            <w:r>
              <w:rPr>
                <w:b/>
                <w:bCs/>
                <w:sz w:val="14"/>
                <w:szCs w:val="14"/>
              </w:rPr>
              <w:t>PCS</w:t>
            </w:r>
          </w:p>
        </w:tc>
        <w:tc>
          <w:tcPr>
            <w:tcW w:w="3694" w:type="dxa"/>
          </w:tcPr>
          <w:p>
            <w:pPr>
              <w:spacing w:before="40" w:after="40" w:line="240" w:lineRule="auto"/>
              <w:jc w:val="both"/>
              <w:rPr>
                <w:rFonts w:cs="Arial"/>
                <w:sz w:val="14"/>
                <w:szCs w:val="14"/>
              </w:rPr>
            </w:pPr>
            <w:r>
              <w:rPr>
                <w:sz w:val="14"/>
                <w:szCs w:val="14"/>
              </w:rPr>
              <w:t>People, Culture and Safety</w:t>
            </w:r>
          </w:p>
        </w:tc>
      </w:tr>
      <w:tr>
        <w:trPr>
          <w:trHeight w:val="163"/>
        </w:trPr>
        <w:tc>
          <w:tcPr>
            <w:tcW w:w="259" w:type="dxa"/>
          </w:tcPr>
          <w:p>
            <w:pPr>
              <w:spacing w:before="40" w:after="40" w:line="240" w:lineRule="auto"/>
              <w:rPr>
                <w:rFonts w:cs="Arial"/>
                <w:sz w:val="14"/>
                <w:szCs w:val="14"/>
              </w:rPr>
            </w:pPr>
          </w:p>
        </w:tc>
        <w:tc>
          <w:tcPr>
            <w:tcW w:w="2561" w:type="dxa"/>
          </w:tcPr>
          <w:p>
            <w:pPr>
              <w:spacing w:before="40" w:after="40" w:line="240" w:lineRule="auto"/>
              <w:rPr>
                <w:rFonts w:cs="Arial"/>
                <w:sz w:val="14"/>
                <w:szCs w:val="14"/>
              </w:rPr>
            </w:pPr>
          </w:p>
        </w:tc>
        <w:tc>
          <w:tcPr>
            <w:tcW w:w="269" w:type="dxa"/>
          </w:tcPr>
          <w:p>
            <w:pPr>
              <w:spacing w:before="40" w:after="40" w:line="240" w:lineRule="auto"/>
              <w:rPr>
                <w:rFonts w:cs="Arial"/>
                <w:sz w:val="14"/>
                <w:szCs w:val="14"/>
              </w:rPr>
            </w:pPr>
          </w:p>
        </w:tc>
        <w:tc>
          <w:tcPr>
            <w:tcW w:w="2426" w:type="dxa"/>
          </w:tcPr>
          <w:p>
            <w:pPr>
              <w:spacing w:before="40" w:after="40" w:line="240" w:lineRule="auto"/>
              <w:rPr>
                <w:rFonts w:cs="Arial"/>
                <w:sz w:val="14"/>
                <w:szCs w:val="14"/>
              </w:rPr>
            </w:pPr>
          </w:p>
        </w:tc>
        <w:tc>
          <w:tcPr>
            <w:tcW w:w="561" w:type="dxa"/>
          </w:tcPr>
          <w:p>
            <w:pPr>
              <w:spacing w:before="40" w:after="40" w:line="240" w:lineRule="auto"/>
              <w:rPr>
                <w:rFonts w:cs="Arial"/>
                <w:b/>
                <w:bCs/>
                <w:sz w:val="14"/>
                <w:szCs w:val="14"/>
              </w:rPr>
            </w:pPr>
            <w:r>
              <w:rPr>
                <w:b/>
                <w:bCs/>
                <w:sz w:val="14"/>
                <w:szCs w:val="14"/>
              </w:rPr>
              <w:t>DTS</w:t>
            </w:r>
          </w:p>
        </w:tc>
        <w:tc>
          <w:tcPr>
            <w:tcW w:w="3694" w:type="dxa"/>
          </w:tcPr>
          <w:p>
            <w:pPr>
              <w:spacing w:before="40" w:after="40" w:line="240" w:lineRule="auto"/>
              <w:jc w:val="both"/>
              <w:rPr>
                <w:rFonts w:cs="Arial"/>
                <w:sz w:val="14"/>
                <w:szCs w:val="14"/>
              </w:rPr>
            </w:pPr>
            <w:r>
              <w:rPr>
                <w:sz w:val="14"/>
                <w:szCs w:val="14"/>
              </w:rPr>
              <w:t>DTS Service Desk Team</w:t>
            </w:r>
          </w:p>
        </w:tc>
      </w:tr>
      <w:tr>
        <w:trPr>
          <w:trHeight w:val="163"/>
        </w:trPr>
        <w:tc>
          <w:tcPr>
            <w:tcW w:w="259" w:type="dxa"/>
          </w:tcPr>
          <w:p>
            <w:pPr>
              <w:spacing w:before="40" w:after="40" w:line="240" w:lineRule="auto"/>
              <w:rPr>
                <w:rFonts w:cs="Arial"/>
                <w:sz w:val="14"/>
                <w:szCs w:val="14"/>
              </w:rPr>
            </w:pPr>
          </w:p>
        </w:tc>
        <w:tc>
          <w:tcPr>
            <w:tcW w:w="2561" w:type="dxa"/>
          </w:tcPr>
          <w:p>
            <w:pPr>
              <w:spacing w:before="40" w:after="40" w:line="240" w:lineRule="auto"/>
              <w:rPr>
                <w:rFonts w:cs="Arial"/>
                <w:sz w:val="14"/>
                <w:szCs w:val="14"/>
              </w:rPr>
            </w:pPr>
          </w:p>
        </w:tc>
        <w:tc>
          <w:tcPr>
            <w:tcW w:w="269" w:type="dxa"/>
          </w:tcPr>
          <w:p>
            <w:pPr>
              <w:spacing w:before="40" w:after="40" w:line="240" w:lineRule="auto"/>
              <w:rPr>
                <w:rFonts w:cs="Arial"/>
                <w:sz w:val="14"/>
                <w:szCs w:val="14"/>
              </w:rPr>
            </w:pPr>
          </w:p>
        </w:tc>
        <w:tc>
          <w:tcPr>
            <w:tcW w:w="2426" w:type="dxa"/>
          </w:tcPr>
          <w:p>
            <w:pPr>
              <w:spacing w:before="40" w:after="40" w:line="240" w:lineRule="auto"/>
              <w:rPr>
                <w:rFonts w:cs="Arial"/>
                <w:sz w:val="14"/>
                <w:szCs w:val="14"/>
              </w:rPr>
            </w:pPr>
          </w:p>
        </w:tc>
        <w:tc>
          <w:tcPr>
            <w:tcW w:w="561" w:type="dxa"/>
          </w:tcPr>
          <w:p>
            <w:pPr>
              <w:spacing w:before="40" w:after="40" w:line="240" w:lineRule="auto"/>
              <w:rPr>
                <w:rFonts w:cs="Arial"/>
                <w:b/>
                <w:bCs/>
                <w:sz w:val="14"/>
                <w:szCs w:val="14"/>
              </w:rPr>
            </w:pPr>
            <w:r>
              <w:rPr>
                <w:b/>
                <w:bCs/>
                <w:sz w:val="14"/>
                <w:szCs w:val="14"/>
              </w:rPr>
              <w:t>CDEI</w:t>
            </w:r>
          </w:p>
        </w:tc>
        <w:tc>
          <w:tcPr>
            <w:tcW w:w="3694" w:type="dxa"/>
          </w:tcPr>
          <w:p>
            <w:pPr>
              <w:spacing w:before="40" w:after="40" w:line="240" w:lineRule="auto"/>
              <w:jc w:val="both"/>
              <w:rPr>
                <w:rFonts w:cs="Arial"/>
                <w:sz w:val="14"/>
                <w:szCs w:val="14"/>
              </w:rPr>
            </w:pPr>
            <w:r>
              <w:rPr>
                <w:sz w:val="14"/>
                <w:szCs w:val="14"/>
              </w:rPr>
              <w:t xml:space="preserve">Coordinator Divercity, Equity and Inclusion</w:t>
            </w:r>
          </w:p>
        </w:tc>
      </w:tr>
    </w:tbl>
    <w:p>
      <w:pPr>
        <w:pStyle w:val="Heading1"/>
      </w:pPr>
      <w:bookmarkStart w:id="9007" w:name="_Toc900000007"/>
      <w:r>
        <w:t xml:space="preserve">Direct contact permissions beyond Leadership Network </w:t>
      </w:r>
      <w:bookmarkEnd w:id="9007"/>
    </w:p>
    <w:p>
      <w:pPr>
        <w:numPr>
          <w:ilvl w:val="2"/>
          <w:numId w:val="2"/>
        </w:numPr>
        <w:ind w:left="1418" w:hanging="709"/>
        <w:rPr/>
      </w:pPr>
      <w:r>
        <w:rPr/>
        <w:t>The provisions of this section apply to all Councillor interactions and request types under this Protocol, including requests for information, advice, service, support, urgent matters and direct support requests.</w:t>
      </w:r>
    </w:p>
    <w:p>
      <w:pPr>
        <w:numPr>
          <w:ilvl w:val="2"/>
          <w:numId w:val="2"/>
        </w:numPr>
        <w:ind w:left="1418" w:hanging="709"/>
        <w:rPr/>
      </w:pPr>
      <w:r>
        <w:rPr/>
        <w:t>This section should be read alongside the request and response pathways in Section 6 and the escalation pathways in Section 8.</w:t>
      </w:r>
    </w:p>
    <w:p>
      <w:pPr>
        <w:pStyle w:val="Heading2"/>
      </w:pPr>
      <w:r>
        <w:t xml:space="preserve">General contact rule</w:t>
      </w:r>
    </w:p>
    <w:p>
      <w:pPr>
        <w:numPr>
          <w:ilvl w:val="2"/>
          <w:numId w:val="2"/>
        </w:numPr>
        <w:ind w:left="1418" w:hanging="709"/>
        <w:rPr/>
      </w:pPr>
      <w:r>
        <w:rPr/>
        <w:t xml:space="preserve"> Direct Councillor contact with officers is generally limited to:</w:t>
      </w:r>
    </w:p>
    <w:p>
      <w:pPr>
        <w:numPr>
          <w:ilvl w:val="3"/>
          <w:numId w:val="2"/>
        </w:numPr>
        <w:ind w:left="1985" w:hanging="567"/>
        <w:rPr/>
      </w:pPr>
      <w:r>
        <w:rPr/>
        <w:t xml:space="preserve">General Managers and Managers as the default contact points; and</w:t>
      </w:r>
    </w:p>
    <w:p>
      <w:pPr>
        <w:numPr>
          <w:ilvl w:val="3"/>
          <w:numId w:val="2"/>
        </w:numPr>
        <w:ind w:left="1985" w:hanging="567"/>
        <w:rPr/>
      </w:pPr>
      <w:r>
        <w:rPr/>
        <w:t xml:space="preserve">Nominated officers listed in Table 3, where the matter relates to their area of responsibility and is consistent with this Protocol.</w:t>
      </w:r>
    </w:p>
    <w:p>
      <w:pPr>
        <w:numPr>
          <w:ilvl w:val="2"/>
          <w:numId w:val="2"/>
        </w:numPr>
        <w:ind w:left="1418" w:hanging="709"/>
        <w:rPr/>
      </w:pPr>
      <w:r>
        <w:rPr/>
        <w:t>Except where otherwise provided for in this Protocol, Councillors should contact the relevant General Manager or Manager in the first instance. The General Manager or Manager may then delegate the response, coordination or ongoing liaison to an appropriate nominated officer listed in Table 3.</w:t>
      </w:r>
    </w:p>
    <w:p>
      <w:pPr>
        <w:numPr>
          <w:ilvl w:val="2"/>
          <w:numId w:val="2"/>
        </w:numPr>
        <w:ind w:left="1418" w:hanging="709"/>
        <w:rPr/>
      </w:pPr>
      <w:r>
        <w:rPr/>
        <w:t>Councillors should not directly contact staff below Manager level unless the officer is:</w:t>
      </w:r>
    </w:p>
    <w:p>
      <w:pPr>
        <w:numPr>
          <w:ilvl w:val="3"/>
          <w:numId w:val="2"/>
        </w:numPr>
        <w:ind w:left="1985" w:hanging="567"/>
        <w:rPr/>
      </w:pPr>
      <w:r>
        <w:rPr/>
        <w:t xml:space="preserve">listed as a nominated officer in Table 3</w:t>
      </w:r>
    </w:p>
    <w:p>
      <w:pPr>
        <w:numPr>
          <w:ilvl w:val="3"/>
          <w:numId w:val="2"/>
        </w:numPr>
        <w:ind w:left="1985" w:hanging="567"/>
        <w:rPr/>
      </w:pPr>
      <w:r>
        <w:rPr/>
        <w:t xml:space="preserve">identified as a direct support contact in Table 2;</w:t>
      </w:r>
    </w:p>
    <w:p>
      <w:pPr>
        <w:numPr>
          <w:ilvl w:val="3"/>
          <w:numId w:val="2"/>
        </w:numPr>
        <w:ind w:left="1985" w:hanging="567"/>
        <w:rPr/>
      </w:pPr>
      <w:r>
        <w:rPr/>
        <w:t>providing Mayor and Councillor support, administrative, governance, technical or specialist support in accordance with this Protocol</w:t>
      </w:r>
    </w:p>
    <w:p>
      <w:pPr>
        <w:numPr>
          <w:ilvl w:val="2"/>
          <w:numId w:val="2"/>
        </w:numPr>
        <w:ind w:left="1418" w:hanging="709"/>
        <w:rPr/>
      </w:pPr>
      <w:r>
        <w:rPr/>
        <w:t xml:space="preserve">This requirement does not apply to routine interactions with the Mayor and Councillors’ Office, Council Business Support Team, Councillor Request Helpdesk, or other administrative support functions identified in this Protocol.</w:t>
      </w:r>
    </w:p>
    <w:p>
      <w:pPr>
        <w:pStyle w:val="Heading2"/>
      </w:pPr>
      <w:r>
        <w:t xml:space="preserve">Nominated officers (Table 3)</w:t>
      </w:r>
    </w:p>
    <w:p>
      <w:pPr>
        <w:numPr>
          <w:ilvl w:val="2"/>
          <w:numId w:val="2"/>
        </w:numPr>
        <w:ind w:left="1418" w:hanging="709"/>
        <w:rPr/>
      </w:pPr>
      <w:r>
        <w:rPr/>
        <w:t>Table 3 lists nominated officers who may correspond directly with Councillors for matters within their remit as an exception to the General Manager/Manager default pathway.</w:t>
      </w:r>
    </w:p>
    <w:p>
      <w:pPr>
        <w:numPr>
          <w:ilvl w:val="2"/>
          <w:numId w:val="2"/>
        </w:numPr>
        <w:ind w:left="1418" w:hanging="709"/>
        <w:rPr/>
      </w:pPr>
      <w:r>
        <w:rPr/>
        <w:t>Nominated officers are authorised to respond directly to Councillor requests for information, service, support, advice and operational liaison within their area of responsibility, provided they:</w:t>
      </w:r>
    </w:p>
    <w:p>
      <w:pPr>
        <w:numPr>
          <w:ilvl w:val="3"/>
          <w:numId w:val="2"/>
        </w:numPr>
        <w:ind w:left="1985" w:hanging="567"/>
        <w:rPr/>
      </w:pPr>
      <w:r>
        <w:rPr/>
        <w:t xml:space="preserve">keep their Manager appropriately informed; and</w:t>
      </w:r>
    </w:p>
    <w:p>
      <w:pPr>
        <w:numPr>
          <w:ilvl w:val="3"/>
          <w:numId w:val="2"/>
        </w:numPr>
        <w:ind w:left="1985" w:hanging="567"/>
        <w:rPr/>
      </w:pPr>
      <w:r>
        <w:rPr/>
        <w:t xml:space="preserve">escalate sensitive, complex, high-risk or out-of-scope matters to their Manager or General Manager; and</w:t>
      </w:r>
    </w:p>
    <w:p>
      <w:pPr>
        <w:numPr>
          <w:ilvl w:val="3"/>
          <w:numId w:val="2"/>
        </w:numPr>
        <w:ind w:left="1985" w:hanging="567"/>
        <w:rPr/>
      </w:pPr>
      <w:r>
        <w:rPr/>
        <w:t>where relevant, ensure the Councillor Request Helpdesk is copied for logging/recordkeeping (for information/advice matters).</w:t>
      </w:r>
    </w:p>
    <w:p>
      <w:pPr>
        <w:numPr>
          <w:ilvl w:val="2"/>
          <w:numId w:val="2"/>
        </w:numPr>
        <w:ind w:left="1418" w:hanging="709"/>
        <w:rPr/>
      </w:pPr>
      <w:r>
        <w:rPr/>
        <w:t>Direct contact with a nominated officer does not authorise Councillors to direct, pressure or seek to influence operational decisions, staff actions, report recommendations or the exercise of delegated authority.</w:t>
      </w:r>
    </w:p>
    <w:p>
      <w:pPr>
        <w:widowControl w:val="0"/>
        <w:tabs>
          <w:tab w:val="left" w:pos="2125"/>
        </w:tabs>
        <w:autoSpaceDE w:val="0"/>
        <w:autoSpaceDN w:val="0"/>
        <w:spacing w:after="120" w:line="240" w:lineRule="auto"/>
        <w:ind w:right="410"/>
        <w:rPr/>
      </w:pPr>
      <w:r>
        <w:rPr>
          <w:b/>
          <w:bCs/>
        </w:rPr>
        <w:t>Table 3: Nominated Officers</w:t>
      </w:r>
    </w:p>
    <w:tbl>
      <w:tblPr>
        <w:tblStyle w:val="TableGrid"/>
        <w:tblW w:w="9770" w:type="dxa"/>
        <w:tblInd w:w="-5"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1725"/>
        <w:gridCol w:w="2732"/>
        <w:gridCol w:w="5313"/>
      </w:tblGrid>
      <w:tr>
        <w:trPr>
          <w:tblHeader/>
        </w:trPr>
        <w:tc>
          <w:tcPr>
            <w:tcW w:w="1725" w:type="dxa"/>
            <w:shd w:val="clear" w:color="auto" w:fill="38322F"/>
          </w:tcPr>
          <w:p>
            <w:pPr>
              <w:spacing w:after="120"/>
              <w:ind w:left="0"/>
              <w:rPr>
                <w:sz w:val="20"/>
                <w:b/>
                <w:bCs/>
                <w:color w:val="FFFFFF"/>
              </w:rPr>
            </w:pPr>
            <w:r>
              <w:rPr>
                <w:sz w:val="20"/>
                <w:b/>
                <w:bCs/>
                <w:color w:val="FFFFFF"/>
              </w:rPr>
              <w:t>Division</w:t>
            </w:r>
          </w:p>
        </w:tc>
        <w:tc>
          <w:tcPr>
            <w:tcW w:w="2732" w:type="dxa"/>
            <w:shd w:val="clear" w:color="auto" w:fill="38322F"/>
          </w:tcPr>
          <w:p>
            <w:pPr>
              <w:spacing w:after="120"/>
              <w:ind w:left="0"/>
              <w:rPr>
                <w:sz w:val="20"/>
                <w:b/>
                <w:bCs/>
                <w:color w:val="FFFFFF"/>
              </w:rPr>
            </w:pPr>
            <w:r>
              <w:rPr>
                <w:sz w:val="20"/>
                <w:b/>
                <w:bCs/>
                <w:color w:val="FFFFFF"/>
              </w:rPr>
              <w:t xml:space="preserve">Business area  </w:t>
            </w:r>
          </w:p>
        </w:tc>
        <w:tc>
          <w:tcPr>
            <w:tcW w:w="5312" w:type="dxa"/>
            <w:shd w:val="clear" w:color="auto" w:fill="38322F"/>
          </w:tcPr>
          <w:p>
            <w:pPr>
              <w:spacing w:after="120"/>
              <w:ind w:left="0"/>
              <w:rPr>
                <w:sz w:val="20"/>
                <w:b/>
                <w:bCs/>
                <w:color w:val="FFFFFF"/>
              </w:rPr>
            </w:pPr>
            <w:r>
              <w:rPr>
                <w:sz w:val="20"/>
                <w:b/>
                <w:bCs/>
                <w:color w:val="FFFFFF"/>
              </w:rPr>
              <w:t xml:space="preserve">Officer roles </w:t>
            </w:r>
          </w:p>
        </w:tc>
      </w:tr>
      <w:tr>
        <w:tc>
          <w:tcPr>
            <w:tcW w:w="1725" w:type="dxa"/>
            <w:vMerge w:val="restart"/>
          </w:tcPr>
          <w:p>
            <w:pPr>
              <w:spacing w:after="120"/>
              <w:ind w:left="0"/>
              <w:rPr>
                <w:sz w:val="18"/>
                <w:szCs w:val="18"/>
              </w:rPr>
            </w:pPr>
            <w:r>
              <w:rPr>
                <w:sz w:val="18"/>
                <w:szCs w:val="18"/>
              </w:rPr>
              <w:t xml:space="preserve">Governance and Performance – </w:t>
            </w:r>
          </w:p>
          <w:p>
            <w:pPr>
              <w:spacing w:after="120"/>
              <w:ind w:left="0"/>
              <w:rPr>
                <w:sz w:val="18"/>
                <w:szCs w:val="18"/>
              </w:rPr>
            </w:pPr>
          </w:p>
          <w:p>
            <w:pPr>
              <w:spacing w:after="120"/>
              <w:ind w:left="0"/>
              <w:rPr>
                <w:sz w:val="18"/>
                <w:szCs w:val="18"/>
              </w:rPr>
            </w:pPr>
          </w:p>
        </w:tc>
        <w:tc>
          <w:tcPr>
            <w:tcW w:w="2732" w:type="dxa"/>
          </w:tcPr>
          <w:p>
            <w:pPr>
              <w:spacing w:after="120"/>
              <w:ind w:left="0"/>
              <w:rPr>
                <w:sz w:val="18"/>
                <w:szCs w:val="20"/>
              </w:rPr>
            </w:pPr>
            <w:r>
              <w:rPr>
                <w:sz w:val="18"/>
                <w:szCs w:val="20"/>
              </w:rPr>
              <w:t xml:space="preserve">Communications and Governance </w:t>
            </w:r>
          </w:p>
        </w:tc>
        <w:tc>
          <w:tcPr>
            <w:tcW w:w="5312" w:type="dxa"/>
          </w:tcPr>
          <w:p>
            <w:pPr>
              <w:numPr>
                <w:ilvl w:val="0"/>
                <w:numId w:val="100"/>
              </w:numPr>
              <w:spacing w:after="120"/>
              <w:rPr>
                <w:sz w:val="18"/>
                <w:szCs w:val="20"/>
              </w:rPr>
            </w:pPr>
            <w:r>
              <w:rPr>
                <w:sz w:val="18"/>
                <w:szCs w:val="20"/>
              </w:rPr>
              <w:t xml:space="preserve">Head of Governance (HOG)</w:t>
            </w:r>
          </w:p>
          <w:p>
            <w:pPr>
              <w:numPr>
                <w:ilvl w:val="0"/>
                <w:numId w:val="100"/>
              </w:numPr>
              <w:spacing w:after="120"/>
              <w:rPr>
                <w:sz w:val="18"/>
                <w:szCs w:val="20"/>
              </w:rPr>
            </w:pPr>
            <w:r>
              <w:rPr>
                <w:sz w:val="18"/>
                <w:szCs w:val="20"/>
              </w:rPr>
              <w:t>Head of Community Engagement</w:t>
            </w:r>
          </w:p>
          <w:p>
            <w:pPr>
              <w:numPr>
                <w:ilvl w:val="0"/>
                <w:numId w:val="100"/>
              </w:numPr>
              <w:spacing w:after="120"/>
              <w:rPr>
                <w:sz w:val="18"/>
                <w:szCs w:val="20"/>
              </w:rPr>
            </w:pPr>
            <w:r>
              <w:rPr>
                <w:sz w:val="18"/>
                <w:szCs w:val="20"/>
              </w:rPr>
              <w:t>Head of Communications and Brand</w:t>
            </w:r>
          </w:p>
          <w:p>
            <w:pPr>
              <w:numPr>
                <w:ilvl w:val="0"/>
                <w:numId w:val="100"/>
              </w:numPr>
              <w:spacing w:after="120"/>
              <w:rPr>
                <w:sz w:val="18"/>
                <w:szCs w:val="20"/>
              </w:rPr>
            </w:pPr>
            <w:r>
              <w:rPr>
                <w:sz w:val="18"/>
                <w:szCs w:val="20"/>
              </w:rPr>
              <w:t>Coordinator Advocacy, Grants and Partnerships (CAP)</w:t>
            </w:r>
          </w:p>
          <w:p>
            <w:pPr>
              <w:numPr>
                <w:ilvl w:val="0"/>
                <w:numId w:val="100"/>
              </w:numPr>
              <w:spacing w:after="120"/>
              <w:rPr>
                <w:sz w:val="18"/>
                <w:szCs w:val="20"/>
              </w:rPr>
            </w:pPr>
            <w:r>
              <w:rPr>
                <w:sz w:val="18"/>
                <w:szCs w:val="20"/>
              </w:rPr>
              <w:t>Coordinator Media (CM)</w:t>
            </w:r>
          </w:p>
          <w:p>
            <w:pPr>
              <w:numPr>
                <w:ilvl w:val="0"/>
                <w:numId w:val="100"/>
              </w:numPr>
              <w:spacing w:after="120"/>
              <w:rPr>
                <w:sz w:val="18"/>
                <w:szCs w:val="20"/>
              </w:rPr>
            </w:pPr>
            <w:r>
              <w:rPr>
                <w:sz w:val="18"/>
                <w:szCs w:val="20"/>
              </w:rPr>
              <w:t xml:space="preserve">Corporate Affairs Lead </w:t>
            </w:r>
          </w:p>
          <w:p>
            <w:pPr>
              <w:numPr>
                <w:ilvl w:val="0"/>
                <w:numId w:val="100"/>
              </w:numPr>
              <w:spacing w:after="120"/>
              <w:rPr>
                <w:sz w:val="18"/>
                <w:szCs w:val="20"/>
              </w:rPr>
            </w:pPr>
            <w:r>
              <w:rPr>
                <w:sz w:val="18"/>
                <w:szCs w:val="20"/>
              </w:rPr>
              <w:t>Council Business Team (CBT)</w:t>
            </w:r>
          </w:p>
          <w:p>
            <w:pPr>
              <w:numPr>
                <w:ilvl w:val="0"/>
                <w:numId w:val="100"/>
              </w:numPr>
              <w:spacing w:after="120"/>
              <w:rPr>
                <w:sz w:val="18"/>
                <w:szCs w:val="20"/>
              </w:rPr>
            </w:pPr>
            <w:r>
              <w:rPr>
                <w:sz w:val="18"/>
                <w:szCs w:val="20"/>
              </w:rPr>
              <w:t xml:space="preserve">Councillor Support Team </w:t>
            </w:r>
          </w:p>
        </w:tc>
      </w:tr>
      <w:tr>
        <w:tc>
          <w:tcPr>
            <w:tcW w:w="1725" w:type="dxa"/>
            <w:vMerge/>
          </w:tcPr>
          <w:p>
            <w:pPr>
              <w:spacing w:after="120"/>
              <w:ind w:left="0"/>
              <w:rPr>
                <w:sz w:val="18"/>
                <w:szCs w:val="18"/>
              </w:rPr>
            </w:pPr>
          </w:p>
        </w:tc>
        <w:tc>
          <w:tcPr>
            <w:tcW w:w="2732" w:type="dxa"/>
          </w:tcPr>
          <w:p>
            <w:pPr>
              <w:spacing w:after="120"/>
              <w:ind w:left="0"/>
              <w:rPr>
                <w:sz w:val="18"/>
                <w:szCs w:val="20"/>
              </w:rPr>
            </w:pPr>
            <w:r>
              <w:rPr>
                <w:sz w:val="18"/>
                <w:szCs w:val="20"/>
              </w:rPr>
              <w:t>Risk and Assurance and EPMO</w:t>
            </w:r>
          </w:p>
        </w:tc>
        <w:tc>
          <w:tcPr>
            <w:tcW w:w="5312" w:type="dxa"/>
          </w:tcPr>
          <w:p>
            <w:pPr>
              <w:numPr>
                <w:ilvl w:val="0"/>
                <w:numId w:val="100"/>
              </w:numPr>
              <w:spacing w:after="120"/>
              <w:rPr>
                <w:sz w:val="18"/>
                <w:szCs w:val="20"/>
              </w:rPr>
            </w:pPr>
            <w:r>
              <w:rPr>
                <w:sz w:val="18"/>
                <w:szCs w:val="20"/>
              </w:rPr>
              <w:t>Head of Risk and Assurance</w:t>
            </w:r>
          </w:p>
          <w:p>
            <w:pPr>
              <w:numPr>
                <w:ilvl w:val="0"/>
                <w:numId w:val="100"/>
              </w:numPr>
              <w:spacing w:after="120"/>
              <w:rPr>
                <w:sz w:val="18"/>
                <w:szCs w:val="20"/>
              </w:rPr>
            </w:pPr>
            <w:r>
              <w:rPr>
                <w:sz w:val="18"/>
                <w:szCs w:val="20"/>
              </w:rPr>
              <w:t>Head of EPMO</w:t>
            </w:r>
          </w:p>
        </w:tc>
      </w:tr>
      <w:tr>
        <w:tc>
          <w:tcPr>
            <w:tcW w:w="1725" w:type="dxa"/>
            <w:vMerge w:val="restart"/>
          </w:tcPr>
          <w:p>
            <w:pPr>
              <w:spacing w:after="120"/>
              <w:ind w:left="0"/>
              <w:rPr>
                <w:sz w:val="18"/>
                <w:szCs w:val="18"/>
              </w:rPr>
            </w:pPr>
            <w:r>
              <w:rPr>
                <w:sz w:val="18"/>
                <w:szCs w:val="18"/>
              </w:rPr>
              <w:t>City Development</w:t>
            </w:r>
          </w:p>
        </w:tc>
        <w:tc>
          <w:tcPr>
            <w:tcW w:w="2732" w:type="dxa"/>
          </w:tcPr>
          <w:p>
            <w:pPr>
              <w:spacing w:after="120"/>
              <w:ind w:left="0"/>
              <w:rPr>
                <w:sz w:val="18"/>
                <w:szCs w:val="20"/>
              </w:rPr>
            </w:pPr>
            <w:r>
              <w:rPr>
                <w:sz w:val="18"/>
                <w:szCs w:val="20"/>
              </w:rPr>
              <w:t>Safety &amp; Amenity</w:t>
            </w:r>
          </w:p>
        </w:tc>
        <w:tc>
          <w:tcPr>
            <w:tcW w:w="5312" w:type="dxa"/>
          </w:tcPr>
          <w:p>
            <w:pPr>
              <w:numPr>
                <w:ilvl w:val="0"/>
                <w:numId w:val="102"/>
              </w:numPr>
              <w:spacing w:after="120"/>
              <w:rPr>
                <w:sz w:val="18"/>
                <w:szCs w:val="20"/>
              </w:rPr>
            </w:pPr>
            <w:r>
              <w:rPr>
                <w:sz w:val="18"/>
                <w:szCs w:val="20"/>
              </w:rPr>
              <w:t>Head of Parking Services</w:t>
            </w:r>
          </w:p>
          <w:p>
            <w:pPr>
              <w:numPr>
                <w:ilvl w:val="0"/>
                <w:numId w:val="102"/>
              </w:numPr>
              <w:spacing w:after="120"/>
              <w:rPr>
                <w:sz w:val="18"/>
                <w:szCs w:val="20"/>
              </w:rPr>
            </w:pPr>
            <w:r>
              <w:rPr>
                <w:sz w:val="18"/>
                <w:szCs w:val="20"/>
              </w:rPr>
              <w:t xml:space="preserve">Coordinator Appeals Administration </w:t>
            </w:r>
          </w:p>
          <w:p>
            <w:pPr>
              <w:numPr>
                <w:ilvl w:val="0"/>
                <w:numId w:val="102"/>
              </w:numPr>
              <w:spacing w:after="120"/>
              <w:rPr>
                <w:sz w:val="18"/>
                <w:szCs w:val="20"/>
              </w:rPr>
            </w:pPr>
            <w:r>
              <w:rPr>
                <w:sz w:val="18"/>
                <w:szCs w:val="20"/>
              </w:rPr>
              <w:t>Coordinator City Permits</w:t>
            </w:r>
          </w:p>
          <w:p>
            <w:pPr>
              <w:numPr>
                <w:ilvl w:val="0"/>
                <w:numId w:val="102"/>
              </w:numPr>
              <w:spacing w:after="120"/>
              <w:rPr>
                <w:sz w:val="18"/>
                <w:szCs w:val="20"/>
              </w:rPr>
            </w:pPr>
            <w:r>
              <w:rPr>
                <w:sz w:val="18"/>
                <w:szCs w:val="20"/>
              </w:rPr>
              <w:t xml:space="preserve">Coordinator Health Services </w:t>
            </w:r>
          </w:p>
          <w:p>
            <w:pPr>
              <w:numPr>
                <w:ilvl w:val="0"/>
                <w:numId w:val="102"/>
              </w:numPr>
              <w:spacing w:after="120"/>
              <w:rPr>
                <w:sz w:val="18"/>
                <w:szCs w:val="20"/>
              </w:rPr>
            </w:pPr>
            <w:r>
              <w:rPr>
                <w:sz w:val="18"/>
                <w:szCs w:val="20"/>
              </w:rPr>
              <w:t>Coordinator Local Laws and Animal Management</w:t>
            </w:r>
          </w:p>
          <w:p>
            <w:pPr>
              <w:numPr>
                <w:ilvl w:val="0"/>
                <w:numId w:val="100"/>
              </w:numPr>
              <w:spacing w:after="120"/>
              <w:rPr>
                <w:sz w:val="18"/>
                <w:szCs w:val="20"/>
              </w:rPr>
            </w:pPr>
            <w:r>
              <w:rPr>
                <w:sz w:val="18"/>
                <w:szCs w:val="20"/>
              </w:rPr>
              <w:t xml:space="preserve">Coordinator Planning Compliance </w:t>
            </w:r>
          </w:p>
        </w:tc>
      </w:tr>
      <w:tr>
        <w:tc>
          <w:tcPr>
            <w:tcW w:w="1725" w:type="dxa"/>
            <w:vMerge/>
          </w:tcPr>
          <w:p>
            <w:pPr>
              <w:spacing w:after="120"/>
              <w:ind w:left="0"/>
              <w:rPr>
                <w:sz w:val="18"/>
                <w:szCs w:val="18"/>
              </w:rPr>
            </w:pPr>
          </w:p>
        </w:tc>
        <w:tc>
          <w:tcPr>
            <w:tcW w:w="2732" w:type="dxa"/>
          </w:tcPr>
          <w:p>
            <w:pPr>
              <w:spacing w:after="120"/>
              <w:ind w:left="0"/>
              <w:rPr>
                <w:sz w:val="18"/>
                <w:szCs w:val="20"/>
              </w:rPr>
            </w:pPr>
            <w:r>
              <w:rPr>
                <w:sz w:val="18"/>
                <w:szCs w:val="20"/>
              </w:rPr>
              <w:t>City Development</w:t>
            </w:r>
          </w:p>
        </w:tc>
        <w:tc>
          <w:tcPr>
            <w:tcW w:w="5312" w:type="dxa"/>
          </w:tcPr>
          <w:p>
            <w:pPr>
              <w:numPr>
                <w:ilvl w:val="0"/>
                <w:numId w:val="100"/>
              </w:numPr>
              <w:spacing w:after="120"/>
              <w:rPr>
                <w:sz w:val="18"/>
                <w:szCs w:val="20"/>
              </w:rPr>
            </w:pPr>
            <w:r>
              <w:rPr>
                <w:sz w:val="18"/>
                <w:szCs w:val="20"/>
              </w:rPr>
              <w:t>Planning Coordinators</w:t>
            </w:r>
          </w:p>
          <w:p>
            <w:pPr>
              <w:numPr>
                <w:ilvl w:val="0"/>
                <w:numId w:val="100"/>
              </w:numPr>
              <w:spacing w:after="120"/>
              <w:rPr>
                <w:sz w:val="18"/>
                <w:szCs w:val="20"/>
              </w:rPr>
            </w:pPr>
            <w:r>
              <w:rPr>
                <w:sz w:val="18"/>
                <w:szCs w:val="20"/>
              </w:rPr>
              <w:t>Coordinator Planning Support</w:t>
            </w:r>
          </w:p>
          <w:p>
            <w:pPr>
              <w:numPr>
                <w:ilvl w:val="0"/>
                <w:numId w:val="100"/>
              </w:numPr>
              <w:spacing w:after="120"/>
              <w:rPr>
                <w:sz w:val="18"/>
                <w:szCs w:val="20"/>
              </w:rPr>
            </w:pPr>
            <w:r>
              <w:rPr>
                <w:sz w:val="18"/>
                <w:szCs w:val="20"/>
              </w:rPr>
              <w:t xml:space="preserve">Building Coordinator / Municipal Building Surveyor </w:t>
            </w:r>
          </w:p>
          <w:p>
            <w:pPr>
              <w:numPr>
                <w:ilvl w:val="0"/>
                <w:numId w:val="100"/>
              </w:numPr>
              <w:spacing w:after="120"/>
              <w:rPr>
                <w:sz w:val="18"/>
                <w:szCs w:val="20"/>
              </w:rPr>
            </w:pPr>
            <w:r>
              <w:rPr>
                <w:sz w:val="18"/>
                <w:szCs w:val="20"/>
              </w:rPr>
              <w:t>Planning Lead Fishermans Bend</w:t>
            </w:r>
          </w:p>
          <w:p>
            <w:pPr>
              <w:numPr>
                <w:ilvl w:val="0"/>
                <w:numId w:val="100"/>
              </w:numPr>
              <w:spacing w:after="120"/>
              <w:rPr>
                <w:sz w:val="18"/>
                <w:szCs w:val="20"/>
              </w:rPr>
            </w:pPr>
            <w:r>
              <w:rPr>
                <w:sz w:val="18"/>
                <w:szCs w:val="20"/>
              </w:rPr>
              <w:t>Executive Officer CD</w:t>
            </w:r>
          </w:p>
        </w:tc>
      </w:tr>
      <w:tr>
        <w:tc>
          <w:tcPr>
            <w:tcW w:w="1725" w:type="dxa"/>
            <w:vMerge/>
          </w:tcPr>
          <w:p>
            <w:pPr>
              <w:spacing w:after="120"/>
              <w:ind w:left="0"/>
              <w:rPr>
                <w:sz w:val="18"/>
                <w:szCs w:val="18"/>
              </w:rPr>
            </w:pPr>
          </w:p>
        </w:tc>
        <w:tc>
          <w:tcPr>
            <w:tcW w:w="2732" w:type="dxa"/>
          </w:tcPr>
          <w:p>
            <w:pPr>
              <w:spacing w:after="120"/>
              <w:ind w:left="0"/>
              <w:rPr>
                <w:sz w:val="18"/>
                <w:szCs w:val="20"/>
              </w:rPr>
            </w:pPr>
            <w:r>
              <w:rPr>
                <w:sz w:val="18"/>
                <w:szCs w:val="20"/>
              </w:rPr>
              <w:t>City Planning and Sustainability</w:t>
            </w:r>
          </w:p>
        </w:tc>
        <w:tc>
          <w:tcPr>
            <w:tcW w:w="5312" w:type="dxa"/>
          </w:tcPr>
          <w:p>
            <w:pPr>
              <w:numPr>
                <w:ilvl w:val="0"/>
                <w:numId w:val="101"/>
              </w:numPr>
              <w:spacing w:after="120"/>
              <w:rPr>
                <w:sz w:val="18"/>
                <w:szCs w:val="20"/>
              </w:rPr>
            </w:pPr>
            <w:r>
              <w:rPr>
                <w:sz w:val="18"/>
                <w:szCs w:val="20"/>
              </w:rPr>
              <w:t xml:space="preserve">Head of Transport </w:t>
            </w:r>
          </w:p>
          <w:p>
            <w:pPr>
              <w:numPr>
                <w:ilvl w:val="0"/>
                <w:numId w:val="101"/>
              </w:numPr>
              <w:spacing w:after="120"/>
              <w:rPr>
                <w:sz w:val="18"/>
                <w:szCs w:val="20"/>
              </w:rPr>
            </w:pPr>
            <w:r>
              <w:rPr>
                <w:sz w:val="18"/>
                <w:szCs w:val="20"/>
              </w:rPr>
              <w:t xml:space="preserve">Coordinator Strategic Transport </w:t>
            </w:r>
          </w:p>
          <w:p>
            <w:pPr>
              <w:numPr>
                <w:ilvl w:val="0"/>
                <w:numId w:val="101"/>
              </w:numPr>
              <w:spacing w:after="120"/>
              <w:rPr>
                <w:sz w:val="18"/>
                <w:szCs w:val="20"/>
              </w:rPr>
            </w:pPr>
            <w:r>
              <w:rPr>
                <w:sz w:val="18"/>
                <w:szCs w:val="20"/>
              </w:rPr>
              <w:t xml:space="preserve">Coordinator Transport Safety </w:t>
            </w:r>
          </w:p>
          <w:p>
            <w:pPr>
              <w:numPr>
                <w:ilvl w:val="0"/>
                <w:numId w:val="101"/>
              </w:numPr>
              <w:spacing w:after="120"/>
              <w:rPr>
                <w:sz w:val="18"/>
                <w:szCs w:val="20"/>
              </w:rPr>
            </w:pPr>
            <w:r>
              <w:rPr>
                <w:sz w:val="18"/>
                <w:szCs w:val="20"/>
              </w:rPr>
              <w:t xml:space="preserve">Head of Sustainability and Climate Change </w:t>
            </w:r>
          </w:p>
          <w:p>
            <w:pPr>
              <w:numPr>
                <w:ilvl w:val="0"/>
                <w:numId w:val="101"/>
              </w:numPr>
              <w:spacing w:after="120"/>
              <w:rPr>
                <w:sz w:val="18"/>
                <w:szCs w:val="20"/>
              </w:rPr>
            </w:pPr>
            <w:r>
              <w:rPr>
                <w:sz w:val="18"/>
                <w:szCs w:val="20"/>
              </w:rPr>
              <w:t xml:space="preserve">Head of Economic Development </w:t>
            </w:r>
          </w:p>
          <w:p>
            <w:pPr>
              <w:numPr>
                <w:ilvl w:val="0"/>
                <w:numId w:val="101"/>
              </w:numPr>
              <w:spacing w:after="120"/>
              <w:rPr>
                <w:sz w:val="18"/>
                <w:szCs w:val="20"/>
              </w:rPr>
            </w:pPr>
            <w:r>
              <w:rPr>
                <w:sz w:val="18"/>
                <w:szCs w:val="20"/>
              </w:rPr>
              <w:t>Senior Program Manager Urban Renewal</w:t>
            </w:r>
          </w:p>
          <w:p>
            <w:pPr>
              <w:numPr>
                <w:ilvl w:val="0"/>
                <w:numId w:val="101"/>
              </w:numPr>
              <w:spacing w:after="120"/>
              <w:rPr>
                <w:sz w:val="18"/>
                <w:szCs w:val="20"/>
              </w:rPr>
            </w:pPr>
            <w:r>
              <w:rPr>
                <w:sz w:val="18"/>
                <w:szCs w:val="20"/>
              </w:rPr>
              <w:t xml:space="preserve">Places and Precincts Coordinator </w:t>
            </w:r>
          </w:p>
        </w:tc>
      </w:tr>
      <w:tr>
        <w:tc>
          <w:tcPr>
            <w:tcW w:w="1725" w:type="dxa"/>
            <w:vMerge w:val="restart"/>
          </w:tcPr>
          <w:p>
            <w:pPr>
              <w:spacing w:after="120"/>
              <w:ind w:left="0"/>
              <w:rPr>
                <w:sz w:val="18"/>
                <w:szCs w:val="18"/>
              </w:rPr>
            </w:pPr>
            <w:r>
              <w:rPr>
                <w:sz w:val="18"/>
                <w:szCs w:val="18"/>
              </w:rPr>
              <w:t>Community and Inclusion</w:t>
            </w:r>
          </w:p>
        </w:tc>
        <w:tc>
          <w:tcPr>
            <w:tcW w:w="2732" w:type="dxa"/>
          </w:tcPr>
          <w:p>
            <w:pPr>
              <w:spacing w:after="120"/>
              <w:ind w:left="0"/>
              <w:rPr>
                <w:sz w:val="18"/>
                <w:szCs w:val="20"/>
              </w:rPr>
            </w:pPr>
            <w:r>
              <w:rPr>
                <w:sz w:val="18"/>
                <w:szCs w:val="20"/>
              </w:rPr>
              <w:t>Community Services and Culture</w:t>
            </w:r>
          </w:p>
        </w:tc>
        <w:tc>
          <w:tcPr>
            <w:tcW w:w="5312" w:type="dxa"/>
          </w:tcPr>
          <w:p>
            <w:pPr>
              <w:numPr>
                <w:ilvl w:val="0"/>
                <w:numId w:val="101"/>
              </w:numPr>
              <w:spacing w:after="120"/>
              <w:rPr>
                <w:sz w:val="18"/>
                <w:szCs w:val="20"/>
              </w:rPr>
            </w:pPr>
            <w:r>
              <w:rPr>
                <w:sz w:val="18"/>
                <w:szCs w:val="20"/>
              </w:rPr>
              <w:t xml:space="preserve">Head of Arts, Festivals and Events </w:t>
            </w:r>
          </w:p>
          <w:p>
            <w:pPr>
              <w:numPr>
                <w:ilvl w:val="0"/>
                <w:numId w:val="101"/>
              </w:numPr>
              <w:spacing w:after="120"/>
              <w:rPr>
                <w:sz w:val="18"/>
                <w:szCs w:val="20"/>
              </w:rPr>
            </w:pPr>
            <w:r>
              <w:rPr>
                <w:sz w:val="18"/>
                <w:szCs w:val="20"/>
              </w:rPr>
              <w:t>Executive Officer CI</w:t>
            </w:r>
          </w:p>
        </w:tc>
      </w:tr>
      <w:tr>
        <w:tc>
          <w:tcPr>
            <w:tcW w:w="1725" w:type="dxa"/>
            <w:vMerge/>
          </w:tcPr>
          <w:p>
            <w:pPr>
              <w:spacing w:after="120"/>
              <w:ind w:left="0"/>
              <w:rPr>
                <w:sz w:val="18"/>
                <w:szCs w:val="18"/>
              </w:rPr>
            </w:pPr>
          </w:p>
        </w:tc>
        <w:tc>
          <w:tcPr>
            <w:tcW w:w="2732" w:type="dxa"/>
          </w:tcPr>
          <w:p>
            <w:pPr>
              <w:spacing w:after="120"/>
              <w:ind w:left="0"/>
              <w:rPr>
                <w:sz w:val="18"/>
                <w:szCs w:val="20"/>
              </w:rPr>
            </w:pPr>
            <w:r>
              <w:rPr>
                <w:sz w:val="18"/>
                <w:szCs w:val="20"/>
              </w:rPr>
              <w:t xml:space="preserve">Divercity and Inclusion </w:t>
            </w:r>
          </w:p>
        </w:tc>
        <w:tc>
          <w:tcPr>
            <w:tcW w:w="5312" w:type="dxa"/>
          </w:tcPr>
          <w:p>
            <w:pPr>
              <w:numPr>
                <w:ilvl w:val="0"/>
                <w:numId w:val="101"/>
              </w:numPr>
              <w:spacing w:after="120"/>
              <w:rPr>
                <w:sz w:val="18"/>
                <w:szCs w:val="20"/>
              </w:rPr>
            </w:pPr>
            <w:r>
              <w:rPr>
                <w:sz w:val="18"/>
                <w:szCs w:val="20"/>
              </w:rPr>
              <w:t>Coordinator, Divercity Equity and Inclusion</w:t>
            </w:r>
          </w:p>
        </w:tc>
      </w:tr>
      <w:tr>
        <w:tc>
          <w:tcPr>
            <w:tcW w:w="1725" w:type="dxa"/>
            <w:vMerge w:val="restart"/>
          </w:tcPr>
          <w:p>
            <w:pPr>
              <w:spacing w:after="120"/>
              <w:ind w:left="0"/>
              <w:rPr>
                <w:sz w:val="18"/>
                <w:szCs w:val="18"/>
              </w:rPr>
            </w:pPr>
            <w:r>
              <w:rPr>
                <w:sz w:val="18"/>
                <w:szCs w:val="18"/>
              </w:rPr>
              <w:t>People and Experience</w:t>
            </w:r>
          </w:p>
        </w:tc>
        <w:tc>
          <w:tcPr>
            <w:tcW w:w="2732" w:type="dxa"/>
          </w:tcPr>
          <w:p>
            <w:pPr>
              <w:spacing w:after="120"/>
              <w:ind w:left="0"/>
              <w:rPr>
                <w:sz w:val="18"/>
                <w:szCs w:val="20"/>
              </w:rPr>
            </w:pPr>
            <w:r>
              <w:rPr>
                <w:sz w:val="18"/>
                <w:szCs w:val="20"/>
              </w:rPr>
              <w:t xml:space="preserve">Customer Experience and Transformation and DTS </w:t>
            </w:r>
          </w:p>
        </w:tc>
        <w:tc>
          <w:tcPr>
            <w:tcW w:w="5312" w:type="dxa"/>
          </w:tcPr>
          <w:p>
            <w:pPr>
              <w:numPr>
                <w:ilvl w:val="0"/>
                <w:numId w:val="101"/>
              </w:numPr>
              <w:spacing w:after="120"/>
              <w:rPr>
                <w:sz w:val="18"/>
                <w:szCs w:val="20"/>
              </w:rPr>
            </w:pPr>
            <w:r>
              <w:rPr>
                <w:sz w:val="18"/>
                <w:szCs w:val="20"/>
              </w:rPr>
              <w:t xml:space="preserve">Head of Customer and Business Improvement </w:t>
            </w:r>
          </w:p>
          <w:p>
            <w:pPr>
              <w:numPr>
                <w:ilvl w:val="0"/>
                <w:numId w:val="101"/>
              </w:numPr>
              <w:spacing w:after="120"/>
              <w:rPr>
                <w:sz w:val="18"/>
                <w:szCs w:val="20"/>
              </w:rPr>
            </w:pPr>
            <w:r>
              <w:rPr>
                <w:sz w:val="18"/>
                <w:szCs w:val="20"/>
              </w:rPr>
              <w:t xml:space="preserve">Customer Experience Advisor </w:t>
            </w:r>
          </w:p>
          <w:p>
            <w:pPr>
              <w:numPr>
                <w:ilvl w:val="0"/>
                <w:numId w:val="101"/>
              </w:numPr>
              <w:spacing w:after="120"/>
              <w:rPr>
                <w:sz w:val="18"/>
                <w:szCs w:val="20"/>
              </w:rPr>
            </w:pPr>
            <w:r>
              <w:rPr>
                <w:sz w:val="18"/>
                <w:szCs w:val="20"/>
              </w:rPr>
              <w:t xml:space="preserve">DTS Service Desk Team </w:t>
            </w:r>
          </w:p>
        </w:tc>
      </w:tr>
      <w:tr>
        <w:tc>
          <w:tcPr>
            <w:tcW w:w="1725" w:type="dxa"/>
            <w:vMerge/>
          </w:tcPr>
          <w:p>
            <w:pPr>
              <w:spacing w:after="120"/>
              <w:ind w:left="0"/>
              <w:rPr>
                <w:sz w:val="18"/>
                <w:szCs w:val="18"/>
              </w:rPr>
            </w:pPr>
          </w:p>
        </w:tc>
        <w:tc>
          <w:tcPr>
            <w:tcW w:w="2732" w:type="dxa"/>
          </w:tcPr>
          <w:p>
            <w:pPr>
              <w:spacing w:after="120"/>
              <w:ind w:left="0"/>
              <w:rPr>
                <w:sz w:val="18"/>
                <w:szCs w:val="20"/>
              </w:rPr>
            </w:pPr>
            <w:r>
              <w:rPr>
                <w:sz w:val="18"/>
                <w:szCs w:val="20"/>
              </w:rPr>
              <w:t xml:space="preserve">People, Culture and Safety </w:t>
            </w:r>
          </w:p>
        </w:tc>
        <w:tc>
          <w:tcPr>
            <w:tcW w:w="5312" w:type="dxa"/>
          </w:tcPr>
          <w:p>
            <w:pPr>
              <w:numPr>
                <w:ilvl w:val="0"/>
                <w:numId w:val="101"/>
              </w:numPr>
              <w:spacing w:after="120"/>
              <w:rPr>
                <w:sz w:val="18"/>
                <w:szCs w:val="20"/>
              </w:rPr>
            </w:pPr>
            <w:r>
              <w:rPr>
                <w:sz w:val="18"/>
                <w:szCs w:val="20"/>
              </w:rPr>
              <w:t xml:space="preserve">Head of Safety and Wellbeing </w:t>
            </w:r>
          </w:p>
        </w:tc>
      </w:tr>
      <w:tr>
        <w:trPr>
          <w:trHeight w:val="54"/>
        </w:trPr>
        <w:tc>
          <w:tcPr>
            <w:tcW w:w="1725" w:type="dxa"/>
          </w:tcPr>
          <w:p>
            <w:pPr>
              <w:spacing w:after="120"/>
              <w:ind w:left="0"/>
              <w:rPr>
                <w:sz w:val="18"/>
                <w:szCs w:val="18"/>
              </w:rPr>
            </w:pPr>
            <w:r>
              <w:rPr>
                <w:sz w:val="18"/>
                <w:szCs w:val="18"/>
              </w:rPr>
              <w:t>Operations and Infrastructure</w:t>
            </w:r>
          </w:p>
        </w:tc>
        <w:tc>
          <w:tcPr>
            <w:tcW w:w="2732" w:type="dxa"/>
          </w:tcPr>
          <w:p>
            <w:pPr>
              <w:spacing w:after="120"/>
              <w:ind w:left="0"/>
              <w:rPr>
                <w:sz w:val="18"/>
                <w:szCs w:val="20"/>
              </w:rPr>
            </w:pPr>
            <w:r>
              <w:rPr>
                <w:sz w:val="18"/>
                <w:szCs w:val="20"/>
              </w:rPr>
              <w:t xml:space="preserve">Waste and City Maintenance </w:t>
            </w:r>
          </w:p>
          <w:p>
            <w:pPr>
              <w:spacing w:after="120"/>
              <w:ind w:left="0"/>
              <w:rPr>
                <w:sz w:val="18"/>
                <w:szCs w:val="20"/>
              </w:rPr>
            </w:pPr>
          </w:p>
        </w:tc>
        <w:tc>
          <w:tcPr>
            <w:tcW w:w="5312" w:type="dxa"/>
          </w:tcPr>
          <w:p>
            <w:pPr>
              <w:numPr>
                <w:ilvl w:val="0"/>
                <w:numId w:val="102"/>
              </w:numPr>
              <w:spacing w:after="120"/>
              <w:rPr>
                <w:sz w:val="18"/>
                <w:szCs w:val="20"/>
              </w:rPr>
            </w:pPr>
            <w:r>
              <w:rPr>
                <w:sz w:val="18"/>
                <w:szCs w:val="20"/>
              </w:rPr>
              <w:t xml:space="preserve">Head of City Operations </w:t>
            </w:r>
          </w:p>
          <w:p>
            <w:pPr>
              <w:numPr>
                <w:ilvl w:val="0"/>
                <w:numId w:val="102"/>
              </w:numPr>
              <w:spacing w:after="120"/>
              <w:rPr>
                <w:sz w:val="18"/>
                <w:szCs w:val="20"/>
              </w:rPr>
            </w:pPr>
            <w:r>
              <w:rPr>
                <w:sz w:val="18"/>
                <w:szCs w:val="20"/>
              </w:rPr>
              <w:t xml:space="preserve">Head of Waste Operations </w:t>
            </w:r>
          </w:p>
        </w:tc>
      </w:tr>
    </w:tbl>
    <w:p>
      <w:pPr>
        <w:pStyle w:val="Heading1"/>
      </w:pPr>
      <w:bookmarkStart w:id="9008" w:name="_Toc900000008"/>
      <w:r>
        <w:t xml:space="preserve">Complaints, concerns and escalation pathways</w:t>
      </w:r>
      <w:bookmarkEnd w:id="9008"/>
    </w:p>
    <w:p>
      <w:pPr>
        <w:pStyle w:val="Heading2"/>
      </w:pPr>
      <w:r>
        <w:t xml:space="preserve">Principles</w:t>
      </w:r>
    </w:p>
    <w:p>
      <w:pPr>
        <w:numPr>
          <w:ilvl w:val="2"/>
          <w:numId w:val="2"/>
        </w:numPr>
        <w:ind w:left="1418" w:hanging="709"/>
        <w:rPr/>
      </w:pPr>
      <w:r>
        <w:rPr/>
        <w:t>Complaints and escalations must focus on facts, process, risk and service standards, and must not seek to direct individual staff actions.</w:t>
      </w:r>
    </w:p>
    <w:p>
      <w:pPr>
        <w:numPr>
          <w:ilvl w:val="2"/>
          <w:numId w:val="2"/>
        </w:numPr>
        <w:ind w:left="1418" w:hanging="709"/>
        <w:rPr/>
      </w:pPr>
      <w:r>
        <w:rPr/>
        <w:t>Confidentiality and procedural fairness must be maintained, particularly where matters involve individuals, investigations, privacy, employment issues, or legal privilege.</w:t>
      </w:r>
    </w:p>
    <w:p>
      <w:pPr>
        <w:pStyle w:val="Heading2"/>
      </w:pPr>
      <w:r>
        <w:t xml:space="preserve">Service complaints from community members</w:t>
      </w:r>
    </w:p>
    <w:p>
      <w:pPr>
        <w:numPr>
          <w:ilvl w:val="2"/>
          <w:numId w:val="2"/>
        </w:numPr>
        <w:ind w:left="1418" w:hanging="709"/>
        <w:rPr/>
      </w:pPr>
      <w:r>
        <w:rPr/>
        <w:t>Where a Councillor receives a complaint from a community member about Council service delivery, the Councillor should:</w:t>
      </w:r>
    </w:p>
    <w:p>
      <w:pPr>
        <w:numPr>
          <w:ilvl w:val="3"/>
          <w:numId w:val="2"/>
        </w:numPr>
        <w:ind w:left="1985" w:hanging="567"/>
        <w:rPr/>
      </w:pPr>
      <w:r>
        <w:rPr/>
        <w:t xml:space="preserve">direct the customer to Council’s formal complaints process (online - </w:t>
      </w:r>
      <w:hyperlink r:id="rId201" w:history="1">
        <w:r>
          <w:rPr>
            <w:rStyle w:val="Hyperlink"/>
          </w:rPr>
          <w:t>Complaints and service requests - City of Port Phillip</w:t>
        </w:r>
      </w:hyperlink>
      <w:r>
        <w:rPr/>
        <w:t xml:space="preserve"> /ASSIST/customer channels); and</w:t>
      </w:r>
    </w:p>
    <w:p>
      <w:pPr>
        <w:numPr>
          <w:ilvl w:val="3"/>
          <w:numId w:val="2"/>
        </w:numPr>
        <w:ind w:left="1985" w:hanging="567"/>
        <w:rPr/>
      </w:pPr>
      <w:r>
        <w:rPr/>
        <w:t>avoid promising outcomes, timeframes, or preferential treatment.</w:t>
      </w:r>
    </w:p>
    <w:p>
      <w:pPr>
        <w:pStyle w:val="Heading2"/>
      </w:pPr>
      <w:r>
        <w:t xml:space="preserve">Councillor service escalation (customer already used Council channels)</w:t>
      </w:r>
    </w:p>
    <w:p>
      <w:pPr>
        <w:numPr>
          <w:ilvl w:val="2"/>
          <w:numId w:val="2"/>
        </w:numPr>
        <w:ind w:left="1418" w:hanging="709"/>
        <w:rPr/>
      </w:pPr>
      <w:r>
        <w:rPr/>
        <w:t xml:space="preserve">Where a customer has already used frontline channels and remains dissatisfied, they should be encouraged to register a complaint through council complaints process. See Section 8.2.</w:t>
      </w:r>
    </w:p>
    <w:p>
      <w:pPr>
        <w:numPr>
          <w:ilvl w:val="2"/>
          <w:numId w:val="2"/>
        </w:numPr>
        <w:ind w:left="1418" w:hanging="709"/>
        <w:rPr/>
      </w:pPr>
      <w:r>
        <w:rPr/>
        <w:t>Where a Councillor becomes aware of a pattern of similar complaints or repeated service issues (whether raised directly with them or observed across their ward), they may independently escalate the matter.</w:t>
      </w:r>
    </w:p>
    <w:p>
      <w:pPr>
        <w:numPr>
          <w:ilvl w:val="3"/>
          <w:numId w:val="2"/>
        </w:numPr>
        <w:ind w:left="1985" w:hanging="567"/>
        <w:rPr/>
      </w:pPr>
      <w:r>
        <w:rPr/>
        <w:t>In the first instance, escalation should be directed to the relevant General Manager, consistent with clause 8.6.2, to enable coordination within the portfolio.</w:t>
      </w:r>
    </w:p>
    <w:p>
      <w:pPr>
        <w:numPr>
          <w:ilvl w:val="3"/>
          <w:numId w:val="2"/>
        </w:numPr>
        <w:ind w:left="1985" w:hanging="567"/>
        <w:rPr/>
      </w:pPr>
      <w:r>
        <w:rPr/>
        <w:t>Escalation to the CEO may be appropriate in accordance with clause 8.6.3, particularly where the matter reflects repeated service failure, broader organisational risk, or requires whole-of-organisation coordination.</w:t>
      </w:r>
    </w:p>
    <w:p>
      <w:pPr>
        <w:pStyle w:val="Heading2"/>
      </w:pPr>
      <w:r>
        <w:t xml:space="preserve">Complaints/concerns about officer conduct (raised by Councillors)</w:t>
      </w:r>
    </w:p>
    <w:p>
      <w:pPr>
        <w:numPr>
          <w:ilvl w:val="2"/>
          <w:numId w:val="2"/>
        </w:numPr>
        <w:ind w:left="1418" w:hanging="709"/>
        <w:rPr/>
      </w:pPr>
      <w:r>
        <w:rPr/>
        <w:t>Where a Councillor has concerns about officer conduct, the Councillor should raise the concern in writing with the relevant GM, providing sufficient detail to enable review.</w:t>
      </w:r>
    </w:p>
    <w:p>
      <w:pPr>
        <w:numPr>
          <w:ilvl w:val="2"/>
          <w:numId w:val="2"/>
        </w:numPr>
        <w:ind w:left="1418" w:hanging="709"/>
        <w:rPr/>
      </w:pPr>
      <w:r>
        <w:rPr/>
        <w:t>Where the concern is serious, sensitive/confidential, or involves a General Manager, it should be raised directly with the CEO.</w:t>
      </w:r>
    </w:p>
    <w:p>
      <w:pPr>
        <w:pStyle w:val="Heading2"/>
      </w:pPr>
      <w:r>
        <w:t xml:space="preserve">Concerns about Councillor conduct or inappropriate interaction (raised by officers)</w:t>
      </w:r>
    </w:p>
    <w:p>
      <w:pPr>
        <w:numPr>
          <w:ilvl w:val="2"/>
          <w:numId w:val="2"/>
        </w:numPr>
        <w:ind w:left="1418" w:hanging="709"/>
        <w:rPr/>
      </w:pPr>
      <w:r>
        <w:rPr/>
        <w:t>If an officer believes a Councillor’s interaction breaches this Protocol or is inappropriate, the officer should:</w:t>
      </w:r>
    </w:p>
    <w:p>
      <w:pPr>
        <w:numPr>
          <w:ilvl w:val="3"/>
          <w:numId w:val="2"/>
        </w:numPr>
        <w:ind w:left="1985" w:hanging="567"/>
        <w:rPr/>
      </w:pPr>
      <w:r>
        <w:rPr/>
        <w:t>set respectful boundaries in the moment (where safe) and redirect to the approved channel; then</w:t>
      </w:r>
    </w:p>
    <w:p>
      <w:pPr>
        <w:numPr>
          <w:ilvl w:val="3"/>
          <w:numId w:val="2"/>
        </w:numPr>
        <w:ind w:left="1985" w:hanging="567"/>
        <w:rPr/>
      </w:pPr>
      <w:r>
        <w:rPr/>
        <w:t>escalate to their Manager and GM; and</w:t>
      </w:r>
    </w:p>
    <w:p>
      <w:pPr>
        <w:numPr>
          <w:ilvl w:val="3"/>
          <w:numId w:val="2"/>
        </w:numPr>
        <w:ind w:left="1985" w:hanging="567"/>
        <w:rPr/>
      </w:pPr>
      <w:r>
        <w:rPr/>
        <w:t>where required, submit the concern in writing to the CEO and/or Governance for handling under relevant processes (including the Model Councillor Code where applicable).</w:t>
      </w:r>
    </w:p>
    <w:p>
      <w:pPr>
        <w:numPr>
          <w:ilvl w:val="2"/>
          <w:numId w:val="2"/>
        </w:numPr>
        <w:ind w:left="1418" w:hanging="709"/>
        <w:rPr/>
      </w:pPr>
      <w:r>
        <w:rPr/>
        <w:t xml:space="preserve">Officers will be supported where they set respectful boundaries, follow this Protocol, and escalate concerns, particularly where safety, intimidation, or improper influence may be present.</w:t>
      </w:r>
    </w:p>
    <w:p>
      <w:pPr>
        <w:pStyle w:val="Heading2"/>
      </w:pPr>
      <w:r>
        <w:t xml:space="preserve">Escalation ladder</w:t>
      </w:r>
    </w:p>
    <w:p>
      <w:pPr>
        <w:numPr>
          <w:ilvl w:val="2"/>
          <w:numId w:val="2"/>
        </w:numPr>
        <w:ind w:left="1418" w:hanging="709"/>
        <w:rPr/>
      </w:pPr>
      <w:r>
        <w:rPr/>
        <w:t>Escalation should generally follow this order unless urgent/high risk:</w:t>
      </w:r>
    </w:p>
    <w:p>
      <w:pPr>
        <w:numPr>
          <w:ilvl w:val="3"/>
          <w:numId w:val="2"/>
        </w:numPr>
        <w:ind w:left="1985" w:hanging="567"/>
        <w:rPr/>
      </w:pPr>
      <w:r>
        <w:rPr/>
        <w:t>attempt resolution through the relevant officer/Manager or through ASSIST workflow (service matters); then</w:t>
      </w:r>
    </w:p>
    <w:p>
      <w:pPr>
        <w:numPr>
          <w:ilvl w:val="3"/>
          <w:numId w:val="2"/>
        </w:numPr>
        <w:ind w:left="1985" w:hanging="567"/>
        <w:rPr/>
      </w:pPr>
      <w:r>
        <w:rPr/>
        <w:t>escalate to the relevant General Manager (primary escalation point).</w:t>
      </w:r>
    </w:p>
    <w:p>
      <w:pPr>
        <w:numPr>
          <w:ilvl w:val="2"/>
          <w:numId w:val="2"/>
        </w:numPr>
        <w:ind w:left="1418" w:hanging="709"/>
        <w:rPr/>
      </w:pPr>
      <w:r>
        <w:rPr/>
        <w:t>The relevant General Manager is the primary escalation point responsible for coordination within their portfolio.</w:t>
      </w:r>
    </w:p>
    <w:p>
      <w:pPr>
        <w:numPr>
          <w:ilvl w:val="2"/>
          <w:numId w:val="2"/>
        </w:numPr>
        <w:ind w:left="1418" w:hanging="709"/>
        <w:rPr/>
      </w:pPr>
      <w:r>
        <w:rPr/>
        <w:t>Escalation to the CEO should be reserved for matters that are:</w:t>
      </w:r>
    </w:p>
    <w:p>
      <w:pPr>
        <w:numPr>
          <w:ilvl w:val="3"/>
          <w:numId w:val="2"/>
        </w:numPr>
        <w:ind w:left="1985" w:hanging="567"/>
        <w:rPr/>
      </w:pPr>
      <w:r>
        <w:rPr/>
        <w:t>high importance or urgency; or</w:t>
      </w:r>
    </w:p>
    <w:p>
      <w:pPr>
        <w:numPr>
          <w:ilvl w:val="3"/>
          <w:numId w:val="2"/>
        </w:numPr>
        <w:ind w:left="1985" w:hanging="567"/>
        <w:rPr/>
      </w:pPr>
      <w:r>
        <w:rPr/>
        <w:t>sensitive or confidential; or</w:t>
      </w:r>
    </w:p>
    <w:p>
      <w:pPr>
        <w:numPr>
          <w:ilvl w:val="3"/>
          <w:numId w:val="2"/>
        </w:numPr>
        <w:ind w:left="1985" w:hanging="567"/>
        <w:rPr/>
      </w:pPr>
      <w:r>
        <w:rPr/>
        <w:t>repeated service failure; or</w:t>
      </w:r>
    </w:p>
    <w:p>
      <w:pPr>
        <w:numPr>
          <w:ilvl w:val="3"/>
          <w:numId w:val="2"/>
        </w:numPr>
        <w:ind w:left="1985" w:hanging="567"/>
        <w:rPr/>
      </w:pPr>
      <w:r>
        <w:rPr/>
        <w:t>involve significant organisational, reputational or governance risk; or</w:t>
      </w:r>
    </w:p>
    <w:p>
      <w:pPr>
        <w:numPr>
          <w:ilvl w:val="3"/>
          <w:numId w:val="2"/>
        </w:numPr>
        <w:ind w:left="1985" w:hanging="567"/>
        <w:rPr/>
      </w:pPr>
      <w:r>
        <w:rPr/>
        <w:t>require whole</w:t>
        <w:noBreakHyphen/>
        <w:t>of</w:t>
        <w:noBreakHyphen/>
        <w:t>organisation coordination; or</w:t>
      </w:r>
    </w:p>
    <w:p>
      <w:pPr>
        <w:numPr>
          <w:ilvl w:val="3"/>
          <w:numId w:val="2"/>
        </w:numPr>
        <w:ind w:left="1985" w:hanging="567"/>
        <w:rPr/>
      </w:pPr>
      <w:r>
        <w:rPr/>
        <w:t>remain unresolved following GM escalation.</w:t>
      </w:r>
    </w:p>
    <w:p>
      <w:pPr>
        <w:numPr>
          <w:ilvl w:val="2"/>
          <w:numId w:val="2"/>
        </w:numPr>
        <w:ind w:left="1418" w:hanging="709"/>
        <w:rPr/>
      </w:pPr>
      <w:r>
        <w:rPr/>
        <w:t xml:space="preserve">Where a matter has been subject to an internal review process, the internal review outcome is final for the purposes of this Protocol. Any further escalation (where applicable) may occur through external integrity or oversight agencies</w:t>
      </w:r>
      <w:r>
        <w:rPr/>
        <w:t xml:space="preserve"> </w:t>
      </w:r>
      <w:r>
        <w:rPr/>
        <w:t>as available and appropriate under legislation.</w:t>
      </w:r>
    </w:p>
    <w:p>
      <w:pPr>
        <w:pStyle w:val="Heading1"/>
      </w:pPr>
      <w:bookmarkStart w:id="9009" w:name="_Toc900000009"/>
      <w:r>
        <w:t xml:space="preserve">Support services (Mayor and Councillors’ Office and Customer Experience)</w:t>
      </w:r>
      <w:bookmarkEnd w:id="9009"/>
    </w:p>
    <w:p>
      <w:pPr>
        <w:numPr>
          <w:ilvl w:val="1"/>
          <w:numId w:val="2"/>
        </w:numPr>
        <w:ind w:left="709" w:hanging="709"/>
        <w:rPr/>
      </w:pPr>
      <w:r>
        <w:rPr/>
        <w:t xml:space="preserve">The Mayor and Councillors’ Office (MCO) provides support to the Mayor and Councillors to assist them in carrying out civic responsibilities on behalf of Council, consistent with the MCO Service Offer.</w:t>
      </w:r>
    </w:p>
    <w:p>
      <w:pPr>
        <w:numPr>
          <w:ilvl w:val="1"/>
          <w:numId w:val="2"/>
        </w:numPr>
        <w:ind w:left="709" w:hanging="709"/>
        <w:rPr/>
      </w:pPr>
      <w:r>
        <w:rPr/>
        <w:t>Councillors may contact and work directly with MCO officers for civic/administrative support (e.g. diaries, invitations, official engagements, expenses, and coordination as applicable)</w:t>
      </w:r>
    </w:p>
    <w:p>
      <w:pPr>
        <w:numPr>
          <w:ilvl w:val="1"/>
          <w:numId w:val="2"/>
        </w:numPr>
        <w:ind w:left="709" w:hanging="709"/>
        <w:rPr/>
      </w:pPr>
      <w:r>
        <w:rPr/>
        <w:t>Officers wishing to invite the Mayor and Councillors to meetings, events and other engagements related to official Council business must:</w:t>
      </w:r>
    </w:p>
    <w:p>
      <w:pPr>
        <w:numPr>
          <w:ilvl w:val="3"/>
          <w:numId w:val="2"/>
        </w:numPr>
        <w:ind w:left="1985" w:hanging="567"/>
        <w:rPr/>
      </w:pPr>
      <w:r>
        <w:rPr/>
        <w:t xml:space="preserve">use the intrant online request form;</w:t>
      </w:r>
    </w:p>
    <w:p>
      <w:pPr>
        <w:numPr>
          <w:ilvl w:val="3"/>
          <w:numId w:val="2"/>
        </w:numPr>
        <w:ind w:left="1985" w:hanging="567"/>
        <w:rPr/>
      </w:pPr>
      <w:r>
        <w:rPr/>
        <w:t>obtain relevant manager approval before an invite is sent; and</w:t>
      </w:r>
    </w:p>
    <w:p>
      <w:pPr>
        <w:numPr>
          <w:ilvl w:val="3"/>
          <w:numId w:val="2"/>
        </w:numPr>
        <w:ind w:left="1985" w:hanging="567"/>
        <w:rPr/>
      </w:pPr>
      <w:r>
        <w:rPr/>
        <w:t>comply with required notice periods.</w:t>
      </w:r>
    </w:p>
    <w:p>
      <w:pPr>
        <w:numPr>
          <w:ilvl w:val="1"/>
          <w:numId w:val="2"/>
        </w:numPr>
        <w:ind w:left="709" w:hanging="709"/>
        <w:rPr/>
      </w:pPr>
      <w:r>
        <w:rPr/>
        <w:t>MCO coordinates invitations to ensure appropriate Councillor invitation, calendar oversight and attendance tracking.</w:t>
      </w:r>
    </w:p>
    <w:p>
      <w:pPr>
        <w:numPr>
          <w:ilvl w:val="1"/>
          <w:numId w:val="2"/>
        </w:numPr>
        <w:ind w:left="709" w:hanging="709"/>
        <w:rPr/>
      </w:pPr>
      <w:r>
        <w:rPr/>
        <w:t xml:space="preserve">Customer Experience Advisor (CXA) - operational owner of the Councillor Request Helpdesk:</w:t>
      </w:r>
    </w:p>
    <w:p>
      <w:pPr>
        <w:numPr>
          <w:ilvl w:val="3"/>
          <w:numId w:val="2"/>
        </w:numPr>
        <w:ind w:left="1985" w:hanging="567"/>
        <w:rPr/>
      </w:pPr>
      <w:r>
        <w:rPr/>
        <w:t xml:space="preserve">manages logging, triage and reporting of information/advice requests;</w:t>
      </w:r>
    </w:p>
    <w:p>
      <w:pPr>
        <w:numPr>
          <w:ilvl w:val="3"/>
          <w:numId w:val="2"/>
        </w:numPr>
        <w:ind w:left="1985" w:hanging="567"/>
        <w:rPr/>
      </w:pPr>
      <w:r>
        <w:rPr/>
        <w:t>supports workflow improvement and tracking of overdue requests; and</w:t>
      </w:r>
    </w:p>
    <w:p>
      <w:pPr>
        <w:numPr>
          <w:ilvl w:val="3"/>
          <w:numId w:val="2"/>
        </w:numPr>
        <w:ind w:left="1985" w:hanging="567"/>
        <w:rPr/>
      </w:pPr>
      <w:r>
        <w:rPr/>
        <w:t>provides governance/management reporting on request volumes, themes and performance.</w:t>
      </w:r>
    </w:p>
    <w:p>
      <w:pPr>
        <w:pStyle w:val="Heading1"/>
      </w:pPr>
      <w:bookmarkStart w:id="9010" w:name="_Toc900000010"/>
      <w:r>
        <w:t xml:space="preserve">Consequences of breach</w:t>
      </w:r>
      <w:bookmarkEnd w:id="9010"/>
    </w:p>
    <w:p>
      <w:pPr>
        <w:numPr>
          <w:ilvl w:val="1"/>
          <w:numId w:val="2"/>
        </w:numPr>
        <w:ind w:left="709" w:hanging="709"/>
        <w:rPr/>
      </w:pPr>
      <w:r>
        <w:rPr/>
        <w:t>This Protocol applies to all Councillor–officer interactions. Where conduct does not meet expected standards under this Protocol, the Model Councillor Code of Conduct, or relevant legislation, the matter may be managed using a proportionate, risk</w:t>
        <w:noBreakHyphen/>
        <w:t>based response.</w:t>
      </w:r>
    </w:p>
    <w:p>
      <w:pPr>
        <w:numPr>
          <w:ilvl w:val="1"/>
          <w:numId w:val="2"/>
        </w:numPr>
        <w:ind w:left="709" w:hanging="709"/>
        <w:rPr/>
      </w:pPr>
      <w:r>
        <w:rPr/>
        <w:t>Depending on seriousness and circumstances, actions may include:</w:t>
      </w:r>
    </w:p>
    <w:p>
      <w:pPr>
        <w:numPr>
          <w:ilvl w:val="3"/>
          <w:numId w:val="2"/>
        </w:numPr>
        <w:ind w:left="1985" w:hanging="567"/>
        <w:rPr/>
      </w:pPr>
      <w:r>
        <w:rPr/>
        <w:t>Immediate management: pause or end the interaction; redirect to approved channel; set boundaries for future contact (e.g. written requests only; single point of contact).</w:t>
      </w:r>
    </w:p>
    <w:p>
      <w:pPr>
        <w:numPr>
          <w:ilvl w:val="3"/>
          <w:numId w:val="2"/>
        </w:numPr>
        <w:ind w:left="1985" w:hanging="567"/>
        <w:rPr/>
      </w:pPr>
      <w:r>
        <w:rPr/>
        <w:t>Contact pathway controls: require future requests be lodged via the Councillor Request Helpdesk/GM pathway and/or restrict direct contact to manager level or nominated officers only.</w:t>
      </w:r>
    </w:p>
    <w:p>
      <w:pPr>
        <w:numPr>
          <w:ilvl w:val="3"/>
          <w:numId w:val="2"/>
        </w:numPr>
        <w:ind w:left="1985" w:hanging="567"/>
        <w:rPr/>
      </w:pPr>
      <w:r>
        <w:rPr/>
        <w:t>Conduct pathway: manage under the councillor conduct framework in the Model Councillor Code (including internal resolution processes and referral pathways for serious or gross misconduct).</w:t>
      </w:r>
    </w:p>
    <w:p>
      <w:pPr>
        <w:numPr>
          <w:ilvl w:val="3"/>
          <w:numId w:val="2"/>
        </w:numPr>
        <w:ind w:left="1985" w:hanging="567"/>
        <w:rPr/>
      </w:pPr>
      <w:r>
        <w:rPr/>
        <w:t>Statutory risks: certain behaviours may engage the Act including s.123, s.124 and s.125.</w:t>
      </w:r>
    </w:p>
    <w:p>
      <w:pPr>
        <w:pStyle w:val="Heading1"/>
      </w:pPr>
      <w:bookmarkStart w:id="9011" w:name="_Toc900000011"/>
      <w:r>
        <w:t xml:space="preserve">Roles and responsibilities</w:t>
      </w:r>
      <w:bookmarkEnd w:id="9011"/>
    </w:p>
    <w:tbl>
      <w:tblPr>
        <w:tblStyle w:val="TableGrid"/>
        <w:tblW w:w="977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1862"/>
        <w:gridCol w:w="7908"/>
      </w:tblGrid>
      <w:tr>
        <w:trPr>
          <w:tblHeader/>
        </w:trPr>
        <w:tc>
          <w:tcPr>
            <w:tcW w:w="1648" w:type="dxa"/>
            <w:shd w:val="clear" w:color="auto" w:fill="38322F"/>
          </w:tcPr>
          <w:p>
            <w:pPr>
              <w:spacing w:line="300" w:lineRule="atLeast"/>
              <w:rPr>
                <w:rFonts w:ascii="Segoe UI" w:eastAsia="Times New Roman" w:hAnsi="Segoe UI" w:cs="Segoe UI"/>
                <w:sz w:val="21"/>
                <w:szCs w:val="21"/>
                <w:lang w:eastAsia="en-AU"/>
                <w:b/>
                <w:bCs/>
                <w:color w:val="FFFFFF"/>
              </w:rPr>
            </w:pPr>
            <w:r>
              <w:rPr>
                <w:sz w:val="21"/>
                <w:szCs w:val="21"/>
                <w:b/>
                <w:bCs/>
                <w:color w:val="FFFFFF"/>
              </w:rPr>
              <w:t>Role</w:t>
            </w:r>
          </w:p>
        </w:tc>
        <w:tc>
          <w:tcPr>
            <w:tcW w:w="7908" w:type="dxa"/>
            <w:shd w:val="clear" w:color="auto" w:fill="38322F"/>
          </w:tcPr>
          <w:p>
            <w:pPr>
              <w:widowControl w:val="0"/>
              <w:tabs>
                <w:tab w:val="left" w:pos="2125"/>
              </w:tabs>
              <w:autoSpaceDE w:val="0"/>
              <w:autoSpaceDN w:val="0"/>
              <w:spacing w:after="120"/>
              <w:ind w:right="410"/>
              <w:rPr>
                <w:rFonts w:cs="Arial"/>
                <w:sz w:val="20"/>
                <w:szCs w:val="20"/>
                <w:b/>
                <w:bCs/>
                <w:color w:val="FFFFFF"/>
              </w:rPr>
            </w:pPr>
            <w:r>
              <w:rPr>
                <w:sz w:val="20"/>
                <w:szCs w:val="20"/>
                <w:b/>
                <w:bCs/>
                <w:color w:val="FFFFFF"/>
              </w:rPr>
              <w:t>Responsibilities</w:t>
            </w:r>
          </w:p>
        </w:tc>
      </w:tr>
      <w:tr>
        <w:tc>
          <w:tcPr>
            <w:tcW w:w="1648" w:type="dxa"/>
          </w:tcPr>
          <w:p>
            <w:pPr>
              <w:widowControl w:val="0"/>
              <w:tabs>
                <w:tab w:val="left" w:pos="2125"/>
              </w:tabs>
              <w:autoSpaceDE w:val="0"/>
              <w:autoSpaceDN w:val="0"/>
              <w:spacing w:before="40" w:after="40" w:line="240" w:lineRule="auto"/>
              <w:ind w:right="410"/>
              <w:rPr>
                <w:rFonts w:cs="Arial"/>
                <w:sz w:val="18"/>
                <w:szCs w:val="18"/>
              </w:rPr>
            </w:pPr>
            <w:r>
              <w:rPr>
                <w:sz w:val="18"/>
                <w:szCs w:val="18"/>
              </w:rPr>
              <w:t>Councillors</w:t>
            </w:r>
          </w:p>
        </w:tc>
        <w:tc>
          <w:tcPr>
            <w:tcW w:w="7908" w:type="dxa"/>
          </w:tcPr>
          <w:p>
            <w:pPr>
              <w:widowControl w:val="0"/>
              <w:numPr>
                <w:ilvl w:val="0"/>
                <w:numId w:val="111"/>
              </w:numPr>
              <w:tabs>
                <w:tab w:val="left" w:pos="2125"/>
              </w:tabs>
              <w:autoSpaceDE w:val="0"/>
              <w:autoSpaceDN w:val="0"/>
              <w:spacing w:before="40" w:after="40" w:line="240" w:lineRule="auto"/>
              <w:ind w:left="360" w:right="410"/>
              <w:rPr>
                <w:rFonts w:cs="Arial"/>
                <w:sz w:val="18"/>
                <w:szCs w:val="18"/>
              </w:rPr>
            </w:pPr>
            <w:r>
              <w:rPr>
                <w:sz w:val="18"/>
                <w:szCs w:val="18"/>
              </w:rPr>
              <w:t>Act in accordance with the Model Councillor Code of Conduct and this Protocol.</w:t>
            </w:r>
          </w:p>
          <w:p>
            <w:pPr>
              <w:widowControl w:val="0"/>
              <w:numPr>
                <w:ilvl w:val="0"/>
                <w:numId w:val="111"/>
              </w:numPr>
              <w:tabs>
                <w:tab w:val="left" w:pos="2125"/>
              </w:tabs>
              <w:autoSpaceDE w:val="0"/>
              <w:autoSpaceDN w:val="0"/>
              <w:spacing w:before="40" w:after="40" w:line="240" w:lineRule="auto"/>
              <w:ind w:left="360" w:right="410"/>
              <w:rPr>
                <w:rFonts w:cs="Arial"/>
                <w:sz w:val="18"/>
                <w:szCs w:val="18"/>
              </w:rPr>
            </w:pPr>
            <w:r>
              <w:rPr>
                <w:sz w:val="18"/>
                <w:szCs w:val="18"/>
              </w:rPr>
              <w:t>Use correct channels:</w:t>
            </w:r>
          </w:p>
          <w:p>
            <w:pPr>
              <w:widowControl w:val="0"/>
              <w:numPr>
                <w:ilvl w:val="0"/>
                <w:numId w:val="111"/>
              </w:numPr>
              <w:tabs>
                <w:tab w:val="left" w:pos="2125"/>
              </w:tabs>
              <w:autoSpaceDE w:val="0"/>
              <w:autoSpaceDN w:val="0"/>
              <w:spacing w:before="40" w:after="40" w:line="240" w:lineRule="auto"/>
              <w:ind w:right="410"/>
              <w:rPr>
                <w:rFonts w:cs="Arial"/>
                <w:sz w:val="18"/>
                <w:szCs w:val="18"/>
              </w:rPr>
            </w:pPr>
            <w:r>
              <w:rPr>
                <w:sz w:val="18"/>
                <w:szCs w:val="18"/>
              </w:rPr>
              <w:t xml:space="preserve">Information/advice: Email the Councillor Request Helpdesk, copying relevant </w:t>
              <w:t xml:space="preserve">officer/manager if known (Section 6.3)</w:t>
            </w:r>
          </w:p>
          <w:p>
            <w:pPr>
              <w:widowControl w:val="0"/>
              <w:numPr>
                <w:ilvl w:val="0"/>
                <w:numId w:val="111"/>
              </w:numPr>
              <w:tabs>
                <w:tab w:val="left" w:pos="2125"/>
              </w:tabs>
              <w:autoSpaceDE w:val="0"/>
              <w:autoSpaceDN w:val="0"/>
              <w:spacing w:before="40" w:after="40" w:line="240" w:lineRule="auto"/>
              <w:ind w:right="410"/>
              <w:rPr>
                <w:rFonts w:cs="Arial"/>
                <w:sz w:val="18"/>
                <w:szCs w:val="18"/>
              </w:rPr>
            </w:pPr>
            <w:r>
              <w:rPr>
                <w:sz w:val="18"/>
                <w:szCs w:val="18"/>
              </w:rPr>
              <w:t>Service matters: Snap Send Solve / My Port Phillip / ASSIST (Section 6.4).</w:t>
            </w:r>
          </w:p>
          <w:p>
            <w:pPr>
              <w:widowControl w:val="0"/>
              <w:numPr>
                <w:ilvl w:val="0"/>
                <w:numId w:val="111"/>
              </w:numPr>
              <w:tabs>
                <w:tab w:val="left" w:pos="2125"/>
              </w:tabs>
              <w:autoSpaceDE w:val="0"/>
              <w:autoSpaceDN w:val="0"/>
              <w:spacing w:before="40" w:after="40" w:line="240" w:lineRule="auto"/>
              <w:ind w:left="360" w:right="410"/>
              <w:rPr>
                <w:rFonts w:cs="Arial"/>
                <w:sz w:val="18"/>
                <w:szCs w:val="18"/>
              </w:rPr>
            </w:pPr>
            <w:r>
              <w:rPr>
                <w:sz w:val="18"/>
                <w:szCs w:val="18"/>
              </w:rPr>
              <w:t xml:space="preserve">Keep requests role</w:t>
            </w:r>
            <w:r>
              <w:rPr>
                <w:sz w:val="18"/>
                <w:szCs w:val="18"/>
              </w:rPr>
              <w:t>‑</w:t>
            </w:r>
            <w:r>
              <w:rPr>
                <w:sz w:val="18"/>
                <w:szCs w:val="18"/>
              </w:rPr>
              <w:t>appropriate (governance/strategy/oversight) and avoid seeking to direct operational work.</w:t>
            </w:r>
          </w:p>
          <w:p>
            <w:pPr>
              <w:widowControl w:val="0"/>
              <w:numPr>
                <w:ilvl w:val="0"/>
                <w:numId w:val="111"/>
              </w:numPr>
              <w:tabs>
                <w:tab w:val="left" w:pos="2125"/>
              </w:tabs>
              <w:autoSpaceDE w:val="0"/>
              <w:autoSpaceDN w:val="0"/>
              <w:spacing w:before="40" w:after="40" w:line="240" w:lineRule="auto"/>
              <w:ind w:left="360" w:right="410"/>
              <w:rPr>
                <w:rFonts w:cs="Arial"/>
                <w:sz w:val="18"/>
                <w:szCs w:val="18"/>
              </w:rPr>
            </w:pPr>
            <w:r>
              <w:rPr>
                <w:sz w:val="18"/>
                <w:szCs w:val="18"/>
              </w:rPr>
              <w:t>Treat officers professionally and respectfully, including tone and frequency of contact.</w:t>
            </w:r>
          </w:p>
          <w:p>
            <w:pPr>
              <w:widowControl w:val="0"/>
              <w:numPr>
                <w:ilvl w:val="0"/>
                <w:numId w:val="111"/>
              </w:numPr>
              <w:tabs>
                <w:tab w:val="left" w:pos="2125"/>
              </w:tabs>
              <w:autoSpaceDE w:val="0"/>
              <w:autoSpaceDN w:val="0"/>
              <w:spacing w:before="40" w:after="40" w:line="240" w:lineRule="auto"/>
              <w:ind w:left="360" w:right="410"/>
              <w:rPr>
                <w:rFonts w:cs="Arial"/>
                <w:sz w:val="18"/>
                <w:szCs w:val="18"/>
              </w:rPr>
            </w:pPr>
            <w:r>
              <w:rPr>
                <w:sz w:val="18"/>
                <w:szCs w:val="18"/>
              </w:rPr>
              <w:t>Maintain confidentiality and not publish/forward Council business communications unless authorised.</w:t>
            </w:r>
          </w:p>
          <w:p>
            <w:pPr>
              <w:widowControl w:val="0"/>
              <w:numPr>
                <w:ilvl w:val="0"/>
                <w:numId w:val="111"/>
              </w:numPr>
              <w:tabs>
                <w:tab w:val="left" w:pos="2125"/>
              </w:tabs>
              <w:autoSpaceDE w:val="0"/>
              <w:autoSpaceDN w:val="0"/>
              <w:spacing w:before="40" w:after="40" w:line="240" w:lineRule="auto"/>
              <w:ind w:left="360" w:right="410"/>
              <w:rPr>
                <w:rFonts w:cs="Arial"/>
                <w:sz w:val="18"/>
                <w:szCs w:val="18"/>
              </w:rPr>
            </w:pPr>
            <w:r>
              <w:rPr>
                <w:sz w:val="18"/>
                <w:szCs w:val="18"/>
              </w:rPr>
              <w:t>Escalate matters consistent with Section 8.6 (Manager/GM primary; CEO only where criteria met).</w:t>
            </w:r>
          </w:p>
        </w:tc>
      </w:tr>
      <w:tr>
        <w:tc>
          <w:tcPr>
            <w:tcW w:w="1648" w:type="dxa"/>
          </w:tcPr>
          <w:p>
            <w:pPr>
              <w:widowControl w:val="0"/>
              <w:tabs>
                <w:tab w:val="left" w:pos="2125"/>
              </w:tabs>
              <w:autoSpaceDE w:val="0"/>
              <w:autoSpaceDN w:val="0"/>
              <w:spacing w:before="40" w:after="40" w:line="240" w:lineRule="auto"/>
              <w:ind w:right="410"/>
              <w:rPr>
                <w:rFonts w:cs="Arial"/>
                <w:sz w:val="18"/>
                <w:szCs w:val="18"/>
              </w:rPr>
            </w:pPr>
            <w:r>
              <w:rPr>
                <w:sz w:val="18"/>
                <w:szCs w:val="18"/>
              </w:rPr>
              <w:t>Chief Executive Officer (CEO)</w:t>
            </w:r>
          </w:p>
          <w:p>
            <w:pPr>
              <w:widowControl w:val="0"/>
              <w:tabs>
                <w:tab w:val="left" w:pos="2125"/>
              </w:tabs>
              <w:autoSpaceDE w:val="0"/>
              <w:autoSpaceDN w:val="0"/>
              <w:spacing w:before="40" w:after="40" w:line="240" w:lineRule="auto"/>
              <w:ind w:right="410"/>
              <w:rPr>
                <w:rFonts w:cs="Arial"/>
                <w:sz w:val="18"/>
                <w:szCs w:val="18"/>
              </w:rPr>
            </w:pPr>
          </w:p>
        </w:tc>
        <w:tc>
          <w:tcPr>
            <w:tcW w:w="7908" w:type="dxa"/>
          </w:tcPr>
          <w:p>
            <w:pPr>
              <w:widowControl w:val="0"/>
              <w:numPr>
                <w:ilvl w:val="0"/>
                <w:numId w:val="111"/>
              </w:numPr>
              <w:tabs>
                <w:tab w:val="left" w:pos="2125"/>
              </w:tabs>
              <w:autoSpaceDE w:val="0"/>
              <w:autoSpaceDN w:val="0"/>
              <w:spacing w:before="40" w:after="40" w:line="240" w:lineRule="auto"/>
              <w:ind w:left="360" w:right="410"/>
              <w:rPr>
                <w:rFonts w:cs="Arial"/>
                <w:sz w:val="18"/>
                <w:szCs w:val="18"/>
              </w:rPr>
            </w:pPr>
            <w:r>
              <w:rPr>
                <w:sz w:val="18"/>
                <w:szCs w:val="18"/>
              </w:rPr>
              <w:t>Manage the organisational interface with Councillors and set expectations for appropriate interaction.</w:t>
            </w:r>
          </w:p>
          <w:p>
            <w:pPr>
              <w:widowControl w:val="0"/>
              <w:numPr>
                <w:ilvl w:val="0"/>
                <w:numId w:val="111"/>
              </w:numPr>
              <w:tabs>
                <w:tab w:val="left" w:pos="2125"/>
              </w:tabs>
              <w:autoSpaceDE w:val="0"/>
              <w:autoSpaceDN w:val="0"/>
              <w:spacing w:before="40" w:after="40" w:line="240" w:lineRule="auto"/>
              <w:ind w:left="360" w:right="410"/>
              <w:rPr>
                <w:rFonts w:cs="Arial"/>
                <w:sz w:val="18"/>
                <w:szCs w:val="18"/>
              </w:rPr>
            </w:pPr>
            <w:r>
              <w:rPr>
                <w:sz w:val="18"/>
                <w:szCs w:val="18"/>
              </w:rPr>
              <w:t>Determine when CEO involvement is required based on Section 8.6.3 criteria.</w:t>
            </w:r>
          </w:p>
          <w:p>
            <w:pPr>
              <w:widowControl w:val="0"/>
              <w:numPr>
                <w:ilvl w:val="0"/>
                <w:numId w:val="111"/>
              </w:numPr>
              <w:tabs>
                <w:tab w:val="left" w:pos="2125"/>
              </w:tabs>
              <w:autoSpaceDE w:val="0"/>
              <w:autoSpaceDN w:val="0"/>
              <w:spacing w:before="40" w:after="40" w:line="240" w:lineRule="auto"/>
              <w:ind w:left="360" w:right="410"/>
              <w:rPr>
                <w:rFonts w:cs="Arial"/>
                <w:sz w:val="18"/>
                <w:szCs w:val="18"/>
              </w:rPr>
            </w:pPr>
            <w:r>
              <w:rPr>
                <w:sz w:val="18"/>
                <w:szCs w:val="18"/>
              </w:rPr>
              <w:t>Ensure organisational processes support consistent, accurate and timely information sharing to Councillors.</w:t>
            </w:r>
          </w:p>
          <w:p>
            <w:pPr>
              <w:widowControl w:val="0"/>
              <w:numPr>
                <w:ilvl w:val="0"/>
                <w:numId w:val="111"/>
              </w:numPr>
              <w:tabs>
                <w:tab w:val="left" w:pos="2125"/>
              </w:tabs>
              <w:autoSpaceDE w:val="0"/>
              <w:autoSpaceDN w:val="0"/>
              <w:spacing w:before="40" w:after="40" w:line="240" w:lineRule="auto"/>
              <w:ind w:left="360" w:right="410"/>
              <w:rPr>
                <w:rFonts w:cs="Arial"/>
                <w:sz w:val="18"/>
                <w:szCs w:val="18"/>
              </w:rPr>
            </w:pPr>
            <w:r>
              <w:rPr>
                <w:sz w:val="18"/>
                <w:szCs w:val="18"/>
              </w:rPr>
              <w:t>Receive and/or ensure appropriate handling of serious/sensitive complaints and conduct matters.</w:t>
            </w:r>
          </w:p>
        </w:tc>
      </w:tr>
      <w:tr>
        <w:tc>
          <w:tcPr>
            <w:tcW w:w="1648" w:type="dxa"/>
          </w:tcPr>
          <w:p>
            <w:pPr>
              <w:widowControl w:val="0"/>
              <w:tabs>
                <w:tab w:val="left" w:pos="2125"/>
              </w:tabs>
              <w:autoSpaceDE w:val="0"/>
              <w:autoSpaceDN w:val="0"/>
              <w:spacing w:before="40" w:after="40" w:line="240" w:lineRule="auto"/>
              <w:ind w:right="410"/>
              <w:rPr>
                <w:rFonts w:cs="Arial"/>
                <w:sz w:val="18"/>
                <w:szCs w:val="18"/>
              </w:rPr>
            </w:pPr>
            <w:r>
              <w:rPr>
                <w:sz w:val="18"/>
                <w:szCs w:val="18"/>
              </w:rPr>
              <w:t>General Managers (GMs)</w:t>
            </w:r>
          </w:p>
          <w:p>
            <w:pPr>
              <w:widowControl w:val="0"/>
              <w:tabs>
                <w:tab w:val="left" w:pos="2125"/>
              </w:tabs>
              <w:autoSpaceDE w:val="0"/>
              <w:autoSpaceDN w:val="0"/>
              <w:spacing w:before="40" w:after="40" w:line="240" w:lineRule="auto"/>
              <w:ind w:right="410"/>
              <w:rPr>
                <w:rFonts w:cs="Arial"/>
                <w:sz w:val="18"/>
                <w:szCs w:val="18"/>
              </w:rPr>
            </w:pPr>
          </w:p>
        </w:tc>
        <w:tc>
          <w:tcPr>
            <w:tcW w:w="7908" w:type="dxa"/>
          </w:tcPr>
          <w:p>
            <w:pPr>
              <w:widowControl w:val="0"/>
              <w:numPr>
                <w:ilvl w:val="0"/>
                <w:numId w:val="111"/>
              </w:numPr>
              <w:tabs>
                <w:tab w:val="left" w:pos="2125"/>
              </w:tabs>
              <w:autoSpaceDE w:val="0"/>
              <w:autoSpaceDN w:val="0"/>
              <w:spacing w:before="40" w:after="40" w:line="240" w:lineRule="auto"/>
              <w:ind w:left="360" w:right="410"/>
              <w:rPr>
                <w:rFonts w:cs="Arial"/>
                <w:sz w:val="18"/>
                <w:szCs w:val="18"/>
              </w:rPr>
            </w:pPr>
            <w:r>
              <w:rPr>
                <w:sz w:val="18"/>
                <w:szCs w:val="18"/>
              </w:rPr>
              <w:t>Provide oversight of divisional portfolios and ensure Councillor matters are coordinated.</w:t>
            </w:r>
          </w:p>
          <w:p>
            <w:pPr>
              <w:widowControl w:val="0"/>
              <w:numPr>
                <w:ilvl w:val="0"/>
                <w:numId w:val="111"/>
              </w:numPr>
              <w:tabs>
                <w:tab w:val="left" w:pos="2125"/>
              </w:tabs>
              <w:autoSpaceDE w:val="0"/>
              <w:autoSpaceDN w:val="0"/>
              <w:spacing w:before="40" w:after="40" w:line="240" w:lineRule="auto"/>
              <w:ind w:left="360" w:right="410"/>
              <w:rPr>
                <w:rFonts w:cs="Arial"/>
                <w:sz w:val="18"/>
                <w:szCs w:val="18"/>
              </w:rPr>
            </w:pPr>
            <w:r>
              <w:rPr>
                <w:sz w:val="18"/>
                <w:szCs w:val="18"/>
              </w:rPr>
              <w:t>Act as the primary escalation point for divisional issues (Section 8.6).</w:t>
            </w:r>
          </w:p>
          <w:p>
            <w:pPr>
              <w:widowControl w:val="0"/>
              <w:numPr>
                <w:ilvl w:val="0"/>
                <w:numId w:val="111"/>
              </w:numPr>
              <w:tabs>
                <w:tab w:val="left" w:pos="2125"/>
              </w:tabs>
              <w:autoSpaceDE w:val="0"/>
              <w:autoSpaceDN w:val="0"/>
              <w:spacing w:before="40" w:after="40" w:line="240" w:lineRule="auto"/>
              <w:ind w:left="360" w:right="410"/>
              <w:rPr>
                <w:rFonts w:cs="Arial"/>
                <w:sz w:val="18"/>
                <w:szCs w:val="18"/>
              </w:rPr>
            </w:pPr>
            <w:r>
              <w:rPr>
                <w:sz w:val="18"/>
                <w:szCs w:val="18"/>
              </w:rPr>
              <w:t>Support managers and nominated officers to provide consistent responses and set boundaries where required.</w:t>
            </w:r>
          </w:p>
          <w:p>
            <w:pPr>
              <w:widowControl w:val="0"/>
              <w:numPr>
                <w:ilvl w:val="0"/>
                <w:numId w:val="111"/>
              </w:numPr>
              <w:tabs>
                <w:tab w:val="left" w:pos="2125"/>
              </w:tabs>
              <w:autoSpaceDE w:val="0"/>
              <w:autoSpaceDN w:val="0"/>
              <w:spacing w:before="40" w:after="40" w:line="240" w:lineRule="auto"/>
              <w:ind w:left="360" w:right="410"/>
              <w:rPr>
                <w:rFonts w:cs="Arial"/>
                <w:sz w:val="18"/>
                <w:szCs w:val="18"/>
              </w:rPr>
            </w:pPr>
            <w:r>
              <w:rPr>
                <w:sz w:val="18"/>
                <w:szCs w:val="18"/>
              </w:rPr>
              <w:t>Escalate to the CEO where criteria in Section 8.6.3 are met.</w:t>
            </w:r>
          </w:p>
        </w:tc>
      </w:tr>
      <w:tr>
        <w:tc>
          <w:tcPr>
            <w:tcW w:w="1648" w:type="dxa"/>
          </w:tcPr>
          <w:p>
            <w:pPr>
              <w:widowControl w:val="0"/>
              <w:tabs>
                <w:tab w:val="left" w:pos="2125"/>
              </w:tabs>
              <w:autoSpaceDE w:val="0"/>
              <w:autoSpaceDN w:val="0"/>
              <w:spacing w:before="40" w:after="40" w:line="240" w:lineRule="auto"/>
              <w:ind w:right="410"/>
              <w:rPr>
                <w:rFonts w:cs="Arial"/>
                <w:sz w:val="18"/>
                <w:szCs w:val="18"/>
              </w:rPr>
            </w:pPr>
            <w:r>
              <w:rPr>
                <w:sz w:val="18"/>
                <w:szCs w:val="18"/>
              </w:rPr>
              <w:t>Managers and nominated officers</w:t>
            </w:r>
          </w:p>
          <w:p>
            <w:pPr>
              <w:widowControl w:val="0"/>
              <w:tabs>
                <w:tab w:val="left" w:pos="2125"/>
              </w:tabs>
              <w:autoSpaceDE w:val="0"/>
              <w:autoSpaceDN w:val="0"/>
              <w:spacing w:before="40" w:after="40" w:line="240" w:lineRule="auto"/>
              <w:ind w:right="410"/>
              <w:rPr>
                <w:rFonts w:cs="Arial"/>
                <w:sz w:val="18"/>
                <w:szCs w:val="18"/>
              </w:rPr>
            </w:pPr>
          </w:p>
        </w:tc>
        <w:tc>
          <w:tcPr>
            <w:tcW w:w="7908" w:type="dxa"/>
          </w:tcPr>
          <w:p>
            <w:pPr>
              <w:widowControl w:val="0"/>
              <w:numPr>
                <w:ilvl w:val="0"/>
                <w:numId w:val="111"/>
              </w:numPr>
              <w:tabs>
                <w:tab w:val="left" w:pos="2125"/>
              </w:tabs>
              <w:autoSpaceDE w:val="0"/>
              <w:autoSpaceDN w:val="0"/>
              <w:spacing w:before="40" w:after="40" w:line="240" w:lineRule="auto"/>
              <w:ind w:left="360" w:right="410"/>
              <w:rPr>
                <w:rFonts w:cs="Arial"/>
                <w:sz w:val="18"/>
                <w:szCs w:val="18"/>
              </w:rPr>
            </w:pPr>
            <w:r>
              <w:rPr>
                <w:sz w:val="18"/>
                <w:szCs w:val="18"/>
              </w:rPr>
              <w:t>Provide accurate, impartial information and advice within remit.</w:t>
            </w:r>
          </w:p>
          <w:p>
            <w:pPr>
              <w:widowControl w:val="0"/>
              <w:numPr>
                <w:ilvl w:val="0"/>
                <w:numId w:val="111"/>
              </w:numPr>
              <w:tabs>
                <w:tab w:val="left" w:pos="2125"/>
              </w:tabs>
              <w:autoSpaceDE w:val="0"/>
              <w:autoSpaceDN w:val="0"/>
              <w:spacing w:before="40" w:after="40" w:line="240" w:lineRule="auto"/>
              <w:ind w:left="360" w:right="410"/>
              <w:rPr>
                <w:rFonts w:cs="Arial"/>
                <w:sz w:val="18"/>
                <w:szCs w:val="18"/>
              </w:rPr>
            </w:pPr>
            <w:r>
              <w:rPr>
                <w:sz w:val="18"/>
                <w:szCs w:val="18"/>
              </w:rPr>
              <w:t>Respond within targets and provide updates when timeframes cannot be met.</w:t>
            </w:r>
          </w:p>
          <w:p>
            <w:pPr>
              <w:widowControl w:val="0"/>
              <w:numPr>
                <w:ilvl w:val="0"/>
                <w:numId w:val="111"/>
              </w:numPr>
              <w:tabs>
                <w:tab w:val="left" w:pos="2125"/>
              </w:tabs>
              <w:autoSpaceDE w:val="0"/>
              <w:autoSpaceDN w:val="0"/>
              <w:spacing w:before="40" w:after="40" w:line="240" w:lineRule="auto"/>
              <w:ind w:left="360" w:right="410"/>
              <w:rPr>
                <w:rFonts w:cs="Arial"/>
                <w:sz w:val="18"/>
                <w:szCs w:val="18"/>
              </w:rPr>
            </w:pPr>
            <w:r>
              <w:rPr>
                <w:sz w:val="18"/>
                <w:szCs w:val="18"/>
              </w:rPr>
              <w:t>Maintain transparency and records (copying requirements as applicable).</w:t>
            </w:r>
          </w:p>
          <w:p>
            <w:pPr>
              <w:widowControl w:val="0"/>
              <w:numPr>
                <w:ilvl w:val="0"/>
                <w:numId w:val="111"/>
              </w:numPr>
              <w:tabs>
                <w:tab w:val="left" w:pos="2125"/>
              </w:tabs>
              <w:autoSpaceDE w:val="0"/>
              <w:autoSpaceDN w:val="0"/>
              <w:spacing w:before="40" w:after="40" w:line="240" w:lineRule="auto"/>
              <w:ind w:left="360" w:right="410"/>
              <w:rPr>
                <w:rFonts w:cs="Arial"/>
                <w:sz w:val="18"/>
                <w:szCs w:val="18"/>
              </w:rPr>
            </w:pPr>
            <w:r>
              <w:rPr>
                <w:sz w:val="18"/>
                <w:szCs w:val="18"/>
              </w:rPr>
              <w:t>Escalate sensitive, complex, cross</w:t>
            </w:r>
            <w:r>
              <w:rPr>
                <w:sz w:val="18"/>
                <w:szCs w:val="18"/>
              </w:rPr>
              <w:t>‑</w:t>
            </w:r>
            <w:r>
              <w:rPr>
                <w:sz w:val="18"/>
                <w:szCs w:val="18"/>
              </w:rPr>
              <w:t>team, or out</w:t>
            </w:r>
            <w:r>
              <w:rPr>
                <w:sz w:val="18"/>
                <w:szCs w:val="18"/>
              </w:rPr>
              <w:t>‑</w:t>
            </w:r>
            <w:r>
              <w:rPr>
                <w:sz w:val="18"/>
                <w:szCs w:val="18"/>
              </w:rPr>
              <w:t>of</w:t>
            </w:r>
            <w:r>
              <w:rPr>
                <w:sz w:val="18"/>
                <w:szCs w:val="18"/>
              </w:rPr>
              <w:t>‑</w:t>
            </w:r>
            <w:r>
              <w:rPr>
                <w:sz w:val="18"/>
                <w:szCs w:val="18"/>
              </w:rPr>
              <w:t>scope matters early to the Manager/GM.</w:t>
            </w:r>
          </w:p>
        </w:tc>
      </w:tr>
      <w:tr>
        <w:tc>
          <w:tcPr>
            <w:tcW w:w="1648" w:type="dxa"/>
          </w:tcPr>
          <w:p>
            <w:pPr>
              <w:widowControl w:val="0"/>
              <w:tabs>
                <w:tab w:val="left" w:pos="2125"/>
              </w:tabs>
              <w:autoSpaceDE w:val="0"/>
              <w:autoSpaceDN w:val="0"/>
              <w:spacing w:before="40" w:after="40" w:line="240" w:lineRule="auto"/>
              <w:ind w:right="410"/>
              <w:rPr>
                <w:rFonts w:cs="Arial"/>
                <w:sz w:val="18"/>
                <w:szCs w:val="18"/>
              </w:rPr>
            </w:pPr>
            <w:r>
              <w:rPr>
                <w:sz w:val="18"/>
                <w:szCs w:val="18"/>
              </w:rPr>
              <w:t>Administrative supports (MCO, Councillor Request Helpdesk, ASSIST, Governance)</w:t>
            </w:r>
          </w:p>
          <w:p>
            <w:pPr>
              <w:widowControl w:val="0"/>
              <w:tabs>
                <w:tab w:val="left" w:pos="2125"/>
              </w:tabs>
              <w:autoSpaceDE w:val="0"/>
              <w:autoSpaceDN w:val="0"/>
              <w:spacing w:before="40" w:after="40" w:line="240" w:lineRule="auto"/>
              <w:ind w:right="410"/>
              <w:rPr>
                <w:rFonts w:cs="Arial"/>
                <w:sz w:val="18"/>
                <w:szCs w:val="18"/>
              </w:rPr>
            </w:pPr>
          </w:p>
        </w:tc>
        <w:tc>
          <w:tcPr>
            <w:tcW w:w="7908" w:type="dxa"/>
          </w:tcPr>
          <w:p>
            <w:pPr>
              <w:widowControl w:val="0"/>
              <w:numPr>
                <w:ilvl w:val="0"/>
                <w:numId w:val="111"/>
              </w:numPr>
              <w:tabs>
                <w:tab w:val="left" w:pos="2125"/>
              </w:tabs>
              <w:autoSpaceDE w:val="0"/>
              <w:autoSpaceDN w:val="0"/>
              <w:spacing w:before="40" w:after="40" w:line="240" w:lineRule="auto"/>
              <w:ind w:left="360" w:right="410"/>
              <w:rPr>
                <w:rFonts w:cs="Arial"/>
                <w:sz w:val="18"/>
                <w:szCs w:val="18"/>
              </w:rPr>
            </w:pPr>
            <w:r>
              <w:rPr>
                <w:sz w:val="18"/>
                <w:szCs w:val="18"/>
              </w:rPr>
              <w:t>MCO/Councillor Support: coordinate civic/admin support (diaries, invites, expenses/IT coordination as applicable).</w:t>
            </w:r>
          </w:p>
          <w:p>
            <w:pPr>
              <w:widowControl w:val="0"/>
              <w:numPr>
                <w:ilvl w:val="0"/>
                <w:numId w:val="111"/>
              </w:numPr>
              <w:tabs>
                <w:tab w:val="left" w:pos="2125"/>
              </w:tabs>
              <w:autoSpaceDE w:val="0"/>
              <w:autoSpaceDN w:val="0"/>
              <w:spacing w:before="40" w:after="40" w:line="240" w:lineRule="auto"/>
              <w:ind w:left="360" w:right="410"/>
              <w:rPr>
                <w:rFonts w:cs="Arial"/>
                <w:sz w:val="18"/>
                <w:szCs w:val="18"/>
              </w:rPr>
            </w:pPr>
            <w:r>
              <w:rPr>
                <w:sz w:val="18"/>
                <w:szCs w:val="18"/>
              </w:rPr>
              <w:t>Councillor Request Helpdesk (owned by CEA): log, triage and track information/advice requests; support reporting and workflow improvements.</w:t>
            </w:r>
          </w:p>
          <w:p>
            <w:pPr>
              <w:widowControl w:val="0"/>
              <w:numPr>
                <w:ilvl w:val="0"/>
                <w:numId w:val="111"/>
              </w:numPr>
              <w:tabs>
                <w:tab w:val="left" w:pos="2125"/>
              </w:tabs>
              <w:autoSpaceDE w:val="0"/>
              <w:autoSpaceDN w:val="0"/>
              <w:spacing w:before="40" w:after="40" w:line="240" w:lineRule="auto"/>
              <w:ind w:left="360" w:right="410"/>
              <w:rPr>
                <w:rFonts w:cs="Arial"/>
                <w:sz w:val="18"/>
                <w:szCs w:val="18"/>
              </w:rPr>
            </w:pPr>
            <w:r>
              <w:rPr>
                <w:sz w:val="18"/>
                <w:szCs w:val="18"/>
              </w:rPr>
              <w:t>ASSIST/customer channels: receive and dispatch service requests and hazards; manage customer escalation workflow; provide reference numbers/status updates; maintain operational records.</w:t>
            </w:r>
          </w:p>
          <w:p>
            <w:pPr>
              <w:widowControl w:val="0"/>
              <w:numPr>
                <w:ilvl w:val="0"/>
                <w:numId w:val="111"/>
              </w:numPr>
              <w:tabs>
                <w:tab w:val="left" w:pos="2125"/>
              </w:tabs>
              <w:autoSpaceDE w:val="0"/>
              <w:autoSpaceDN w:val="0"/>
              <w:spacing w:before="40" w:after="40" w:line="240" w:lineRule="auto"/>
              <w:ind w:left="360" w:right="410"/>
              <w:rPr>
                <w:rFonts w:cs="Arial"/>
                <w:sz w:val="18"/>
                <w:szCs w:val="18"/>
              </w:rPr>
            </w:pPr>
            <w:r>
              <w:rPr>
                <w:sz w:val="18"/>
                <w:szCs w:val="18"/>
              </w:rPr>
              <w:t>Governance: maintain the Protocol and provide advice on meeting processes, governance rules, conflicts of interest, and conduct pathways.</w:t>
            </w:r>
          </w:p>
        </w:tc>
      </w:tr>
    </w:tbl>
    <w:p>
      <w:pPr>
        <w:pStyle w:val="Heading1"/>
      </w:pPr>
      <w:bookmarkStart w:id="9012" w:name="_Toc900000012"/>
      <w:r>
        <w:t xml:space="preserve">Related documents and legislation</w:t>
      </w:r>
      <w:bookmarkEnd w:id="9012"/>
    </w:p>
    <w:p>
      <w:pPr>
        <w:numPr>
          <w:ilvl w:val="1"/>
          <w:numId w:val="2"/>
        </w:numPr>
        <w:ind w:left="709" w:hanging="709"/>
        <w:rPr/>
      </w:pPr>
      <w:r>
        <w:rPr/>
        <w:t>Local Government Act 2020</w:t>
      </w:r>
    </w:p>
    <w:p>
      <w:pPr>
        <w:numPr>
          <w:ilvl w:val="1"/>
          <w:numId w:val="2"/>
        </w:numPr>
        <w:ind w:left="709" w:hanging="709"/>
        <w:rPr/>
      </w:pPr>
      <w:r>
        <w:rPr/>
        <w:t>Occupational Health and Safety Act 2004</w:t>
      </w:r>
    </w:p>
    <w:p>
      <w:pPr>
        <w:numPr>
          <w:ilvl w:val="1"/>
          <w:numId w:val="2"/>
        </w:numPr>
        <w:ind w:left="709" w:hanging="709"/>
        <w:rPr/>
      </w:pPr>
      <w:r>
        <w:rPr/>
        <w:t>Privacy and Data Protection Act 2014</w:t>
      </w:r>
    </w:p>
    <w:p>
      <w:pPr>
        <w:numPr>
          <w:ilvl w:val="1"/>
          <w:numId w:val="2"/>
        </w:numPr>
        <w:ind w:left="709" w:hanging="709"/>
        <w:rPr/>
      </w:pPr>
      <w:r>
        <w:rPr/>
        <w:t>Model Councillor Code of Conduct</w:t>
      </w:r>
    </w:p>
    <w:p>
      <w:pPr>
        <w:numPr>
          <w:ilvl w:val="1"/>
          <w:numId w:val="2"/>
        </w:numPr>
        <w:ind w:left="709" w:hanging="709"/>
        <w:rPr/>
      </w:pPr>
      <w:r>
        <w:rPr/>
        <w:t xml:space="preserve">CoPP Councillor Expense and Support Policy</w:t>
      </w:r>
    </w:p>
    <w:p>
      <w:pPr>
        <w:numPr>
          <w:ilvl w:val="1"/>
          <w:numId w:val="2"/>
        </w:numPr>
        <w:ind w:left="709" w:hanging="709"/>
        <w:rPr/>
      </w:pPr>
      <w:r>
        <w:rPr/>
        <w:t xml:space="preserve">CoPP Complaints Handling Policy</w:t>
      </w:r>
    </w:p>
    <w:p>
      <w:pPr>
        <w:numPr>
          <w:ilvl w:val="1"/>
          <w:numId w:val="2"/>
        </w:numPr>
        <w:ind w:left="709" w:hanging="709"/>
        <w:rPr/>
      </w:pPr>
      <w:r>
        <w:rPr/>
        <w:t xml:space="preserve">CoPP Governance Rules</w:t>
      </w:r>
    </w:p>
    <w:p>
      <w:pPr>
        <w:numPr>
          <w:ilvl w:val="1"/>
          <w:numId w:val="2"/>
        </w:numPr>
        <w:ind w:left="709" w:hanging="709"/>
        <w:rPr/>
      </w:pPr>
      <w:r>
        <w:rPr/>
        <w:t xml:space="preserve">CoPP Employee Code of Conduct</w:t>
      </w:r>
    </w:p>
    <w:p>
      <w:pPr>
        <w:numPr>
          <w:ilvl w:val="1"/>
          <w:numId w:val="2"/>
        </w:numPr>
        <w:ind w:left="709" w:hanging="709"/>
        <w:rPr/>
      </w:pPr>
      <w:r>
        <w:rPr/>
        <w:t xml:space="preserve">CoPP Media Guidelines</w:t>
      </w:r>
    </w:p>
    <w:p>
      <w:pPr>
        <w:numPr>
          <w:ilvl w:val="1"/>
          <w:numId w:val="2"/>
        </w:numPr>
        <w:ind w:left="709" w:hanging="709"/>
        <w:rPr/>
      </w:pPr>
      <w:r>
        <w:rPr/>
        <w:t xml:space="preserve">CoPP Individual Councillor Briefing Guidelines</w:t>
      </w:r>
    </w:p>
    <w:p>
      <w:pPr>
        <w:numPr>
          <w:ilvl w:val="1"/>
          <w:numId w:val="2"/>
        </w:numPr>
        <w:ind w:left="709" w:hanging="709"/>
        <w:rPr/>
      </w:pPr>
      <w:r>
        <w:rPr/>
        <w:t xml:space="preserve">CoPP Staff Gifts, Benefits and Hospitality Policy</w:t>
      </w:r>
    </w:p>
    <w:p>
      <w:pPr>
        <w:pStyle w:val="Heading1"/>
      </w:pPr>
      <w:bookmarkStart w:id="9013" w:name="_Toc900000013"/>
      <w:r>
        <w:t xml:space="preserve">Definitions</w:t>
      </w:r>
      <w:bookmarkEnd w:id="9013"/>
    </w:p>
    <w:tbl>
      <w:tblPr>
        <w:tblStyle w:val="TableGrid"/>
        <w:tblW w:w="977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2822"/>
        <w:gridCol w:w="6948"/>
      </w:tblGrid>
      <w:tr>
        <w:tc>
          <w:tcPr>
            <w:tcW w:w="2822" w:type="dxa"/>
            <w:shd w:val="clear" w:color="auto" w:fill="38322F"/>
          </w:tcPr>
          <w:p>
            <w:pPr>
              <w:widowControl w:val="0"/>
              <w:tabs>
                <w:tab w:val="left" w:pos="2125"/>
              </w:tabs>
              <w:autoSpaceDE w:val="0"/>
              <w:autoSpaceDN w:val="0"/>
              <w:spacing w:after="120"/>
              <w:ind w:right="410"/>
              <w:rPr>
                <w:rFonts w:cs="Arial"/>
                <w:sz w:val="18"/>
                <w:szCs w:val="18"/>
                <w:b/>
                <w:bCs/>
                <w:color w:val="FFFFFF"/>
              </w:rPr>
            </w:pPr>
            <w:r>
              <w:rPr>
                <w:sz w:val="18"/>
                <w:szCs w:val="18"/>
                <w:b/>
                <w:bCs/>
                <w:color w:val="FFFFFF"/>
              </w:rPr>
              <w:t>Act:</w:t>
            </w:r>
          </w:p>
        </w:tc>
        <w:tc>
          <w:tcPr>
            <w:tcW w:w="6948" w:type="dxa"/>
          </w:tcPr>
          <w:p>
            <w:pPr>
              <w:widowControl w:val="0"/>
              <w:tabs>
                <w:tab w:val="left" w:pos="2125"/>
              </w:tabs>
              <w:autoSpaceDE w:val="0"/>
              <w:autoSpaceDN w:val="0"/>
              <w:spacing w:after="120"/>
              <w:ind w:right="410"/>
              <w:rPr>
                <w:rFonts w:cs="Arial"/>
                <w:sz w:val="18"/>
                <w:szCs w:val="18"/>
              </w:rPr>
            </w:pPr>
            <w:r>
              <w:rPr>
                <w:i/>
                <w:sz w:val="18"/>
                <w:szCs w:val="18"/>
              </w:rPr>
              <w:t>Local Government Act 2020</w:t>
            </w:r>
            <w:r>
              <w:rPr>
                <w:sz w:val="18"/>
                <w:szCs w:val="18"/>
              </w:rPr>
              <w:t xml:space="preserve"> (as amended).</w:t>
            </w:r>
          </w:p>
        </w:tc>
      </w:tr>
      <w:tr>
        <w:tc>
          <w:tcPr>
            <w:tcW w:w="2822" w:type="dxa"/>
            <w:shd w:val="clear" w:color="auto" w:fill="38322F"/>
          </w:tcPr>
          <w:p>
            <w:pPr>
              <w:spacing w:before="40" w:after="40" w:line="240" w:lineRule="auto"/>
              <w:rPr>
                <w:sz w:val="18"/>
                <w:szCs w:val="18"/>
                <w:b/>
                <w:bCs/>
                <w:color w:val="FFFFFF"/>
              </w:rPr>
            </w:pPr>
            <w:r>
              <w:rPr>
                <w:sz w:val="18"/>
                <w:szCs w:val="18"/>
                <w:b/>
                <w:bCs/>
                <w:color w:val="FFFFFF"/>
              </w:rPr>
              <w:t>Business hours:</w:t>
            </w:r>
          </w:p>
        </w:tc>
        <w:tc>
          <w:tcPr>
            <w:tcW w:w="6948" w:type="dxa"/>
          </w:tcPr>
          <w:p>
            <w:pPr>
              <w:spacing w:before="40" w:after="40" w:line="240" w:lineRule="auto"/>
              <w:rPr>
                <w:sz w:val="18"/>
                <w:szCs w:val="18"/>
              </w:rPr>
            </w:pPr>
            <w:r>
              <w:rPr>
                <w:sz w:val="18"/>
                <w:szCs w:val="18"/>
              </w:rPr>
              <w:t>8:30am–5:00pm Monday to Friday (excluding public holidays).</w:t>
            </w:r>
          </w:p>
        </w:tc>
      </w:tr>
      <w:tr>
        <w:tc>
          <w:tcPr>
            <w:tcW w:w="2822" w:type="dxa"/>
            <w:shd w:val="clear" w:color="auto" w:fill="38322F"/>
          </w:tcPr>
          <w:p>
            <w:pPr>
              <w:spacing w:after="120"/>
              <w:rPr>
                <w:rFonts w:cs="Arial"/>
                <w:sz w:val="18"/>
                <w:szCs w:val="18"/>
                <w:b/>
                <w:bCs/>
                <w:color w:val="FFFFFF"/>
              </w:rPr>
            </w:pPr>
            <w:r>
              <w:rPr>
                <w:sz w:val="18"/>
                <w:szCs w:val="18"/>
                <w:b/>
                <w:bCs/>
                <w:color w:val="FFFFFF"/>
              </w:rPr>
              <w:t>Operational matter:</w:t>
            </w:r>
          </w:p>
        </w:tc>
        <w:tc>
          <w:tcPr>
            <w:tcW w:w="6948" w:type="dxa"/>
          </w:tcPr>
          <w:p>
            <w:pPr>
              <w:widowControl w:val="0"/>
              <w:tabs>
                <w:tab w:val="left" w:pos="2125"/>
              </w:tabs>
              <w:autoSpaceDE w:val="0"/>
              <w:autoSpaceDN w:val="0"/>
              <w:spacing w:after="120"/>
              <w:ind w:right="410"/>
              <w:rPr>
                <w:rFonts w:cs="Arial"/>
                <w:sz w:val="18"/>
                <w:szCs w:val="18"/>
              </w:rPr>
            </w:pPr>
            <w:r>
              <w:rPr>
                <w:sz w:val="18"/>
                <w:szCs w:val="18"/>
              </w:rPr>
              <w:t>day</w:t>
              <w:noBreakHyphen/>
              <w:t>to</w:t>
              <w:noBreakHyphen/>
              <w:t>day service delivery and implementation (maintenance, enforcement action, scheduling, prioritisation, staffing).</w:t>
            </w:r>
          </w:p>
        </w:tc>
      </w:tr>
      <w:tr>
        <w:tc>
          <w:tcPr>
            <w:tcW w:w="2822" w:type="dxa"/>
            <w:shd w:val="clear" w:color="auto" w:fill="38322F"/>
          </w:tcPr>
          <w:p>
            <w:pPr>
              <w:widowControl w:val="0"/>
              <w:tabs>
                <w:tab w:val="left" w:pos="2125"/>
              </w:tabs>
              <w:autoSpaceDE w:val="0"/>
              <w:autoSpaceDN w:val="0"/>
              <w:spacing w:after="120"/>
              <w:ind w:right="410"/>
              <w:rPr>
                <w:rFonts w:cs="Arial"/>
                <w:sz w:val="18"/>
                <w:szCs w:val="18"/>
                <w:b/>
                <w:bCs/>
                <w:color w:val="FFFFFF"/>
              </w:rPr>
            </w:pPr>
            <w:r>
              <w:rPr>
                <w:sz w:val="18"/>
                <w:szCs w:val="18"/>
                <w:b/>
                <w:bCs/>
                <w:color w:val="FFFFFF"/>
              </w:rPr>
              <w:t>Strategic matter:</w:t>
            </w:r>
          </w:p>
        </w:tc>
        <w:tc>
          <w:tcPr>
            <w:tcW w:w="6948" w:type="dxa"/>
          </w:tcPr>
          <w:p>
            <w:pPr>
              <w:widowControl w:val="0"/>
              <w:tabs>
                <w:tab w:val="left" w:pos="2125"/>
              </w:tabs>
              <w:autoSpaceDE w:val="0"/>
              <w:autoSpaceDN w:val="0"/>
              <w:spacing w:after="120"/>
              <w:ind w:right="410"/>
              <w:rPr>
                <w:rFonts w:cs="Arial"/>
                <w:sz w:val="18"/>
                <w:szCs w:val="18"/>
              </w:rPr>
            </w:pPr>
            <w:r>
              <w:rPr>
                <w:sz w:val="18"/>
                <w:szCs w:val="18"/>
              </w:rPr>
              <w:t>policy, strategy, budget, governance, risk, advocacy, priorities, matters likely to inform Council decision</w:t>
              <w:noBreakHyphen/>
              <w:t>making.</w:t>
            </w:r>
          </w:p>
        </w:tc>
      </w:tr>
      <w:tr>
        <w:tc>
          <w:tcPr>
            <w:tcW w:w="2822" w:type="dxa"/>
            <w:shd w:val="clear" w:color="auto" w:fill="38322F"/>
          </w:tcPr>
          <w:p>
            <w:pPr>
              <w:widowControl w:val="0"/>
              <w:tabs>
                <w:tab w:val="left" w:pos="2125"/>
              </w:tabs>
              <w:autoSpaceDE w:val="0"/>
              <w:autoSpaceDN w:val="0"/>
              <w:spacing w:after="120"/>
              <w:ind w:right="410"/>
              <w:rPr>
                <w:rFonts w:cs="Arial"/>
                <w:sz w:val="18"/>
                <w:szCs w:val="18"/>
                <w:b/>
                <w:bCs/>
                <w:color w:val="FFFFFF"/>
              </w:rPr>
            </w:pPr>
            <w:r>
              <w:rPr>
                <w:sz w:val="18"/>
                <w:szCs w:val="18"/>
                <w:b/>
                <w:bCs/>
                <w:color w:val="FFFFFF"/>
              </w:rPr>
              <w:t xml:space="preserve">Delegated </w:t>
              <w:t xml:space="preserve">authority/delegation: </w:t>
            </w:r>
          </w:p>
        </w:tc>
        <w:tc>
          <w:tcPr>
            <w:tcW w:w="6948" w:type="dxa"/>
          </w:tcPr>
          <w:p>
            <w:pPr>
              <w:widowControl w:val="0"/>
              <w:tabs>
                <w:tab w:val="left" w:pos="2125"/>
              </w:tabs>
              <w:autoSpaceDE w:val="0"/>
              <w:autoSpaceDN w:val="0"/>
              <w:spacing w:after="120"/>
              <w:ind w:right="410"/>
              <w:rPr>
                <w:rFonts w:cs="Arial"/>
                <w:sz w:val="18"/>
                <w:szCs w:val="18"/>
              </w:rPr>
            </w:pPr>
            <w:r>
              <w:rPr>
                <w:sz w:val="18"/>
                <w:szCs w:val="18"/>
              </w:rPr>
              <w:t xml:space="preserve">authority given to the CEO/officers to make decisions on behalf of </w:t>
              <w:t>Council.</w:t>
            </w:r>
          </w:p>
        </w:tc>
      </w:tr>
      <w:tr>
        <w:tc>
          <w:tcPr>
            <w:tcW w:w="2822" w:type="dxa"/>
            <w:shd w:val="clear" w:color="auto" w:fill="38322F"/>
          </w:tcPr>
          <w:p>
            <w:pPr>
              <w:widowControl w:val="0"/>
              <w:tabs>
                <w:tab w:val="left" w:pos="2125"/>
              </w:tabs>
              <w:autoSpaceDE w:val="0"/>
              <w:autoSpaceDN w:val="0"/>
              <w:spacing w:after="120"/>
              <w:ind w:right="410"/>
              <w:rPr>
                <w:rFonts w:cs="Arial"/>
                <w:sz w:val="18"/>
                <w:szCs w:val="18"/>
                <w:b/>
                <w:bCs/>
                <w:color w:val="FFFFFF"/>
              </w:rPr>
            </w:pPr>
            <w:r>
              <w:rPr>
                <w:sz w:val="18"/>
                <w:szCs w:val="18"/>
                <w:b/>
                <w:bCs/>
                <w:color w:val="FFFFFF"/>
              </w:rPr>
              <w:t>Authorised Officer:</w:t>
            </w:r>
          </w:p>
        </w:tc>
        <w:tc>
          <w:tcPr>
            <w:tcW w:w="6948" w:type="dxa"/>
          </w:tcPr>
          <w:p>
            <w:pPr>
              <w:widowControl w:val="0"/>
              <w:tabs>
                <w:tab w:val="left" w:pos="2125"/>
              </w:tabs>
              <w:autoSpaceDE w:val="0"/>
              <w:autoSpaceDN w:val="0"/>
              <w:spacing w:after="120"/>
              <w:ind w:right="410"/>
              <w:rPr>
                <w:rFonts w:cs="Arial"/>
                <w:sz w:val="18"/>
                <w:szCs w:val="18"/>
              </w:rPr>
            </w:pPr>
            <w:r>
              <w:rPr>
                <w:sz w:val="18"/>
                <w:szCs w:val="18"/>
              </w:rPr>
              <w:t>an officer appointed under relevant legislation to exercise statutory powers.</w:t>
            </w:r>
          </w:p>
        </w:tc>
      </w:tr>
      <w:tr>
        <w:tc>
          <w:tcPr>
            <w:tcW w:w="2822" w:type="dxa"/>
            <w:shd w:val="clear" w:color="auto" w:fill="38322F"/>
          </w:tcPr>
          <w:p>
            <w:pPr>
              <w:widowControl w:val="0"/>
              <w:tabs>
                <w:tab w:val="left" w:pos="2125"/>
              </w:tabs>
              <w:autoSpaceDE w:val="0"/>
              <w:autoSpaceDN w:val="0"/>
              <w:spacing w:after="120"/>
              <w:ind w:right="410"/>
              <w:rPr>
                <w:rFonts w:cs="Arial"/>
                <w:sz w:val="18"/>
                <w:szCs w:val="18"/>
                <w:b/>
                <w:bCs/>
                <w:color w:val="FFFFFF"/>
              </w:rPr>
            </w:pPr>
            <w:r>
              <w:rPr>
                <w:sz w:val="18"/>
                <w:szCs w:val="18"/>
                <w:b/>
                <w:bCs/>
                <w:color w:val="FFFFFF"/>
              </w:rPr>
              <w:t xml:space="preserve">Councillor request (information/advice): </w:t>
            </w:r>
          </w:p>
        </w:tc>
        <w:tc>
          <w:tcPr>
            <w:tcW w:w="6948" w:type="dxa"/>
          </w:tcPr>
          <w:p>
            <w:pPr>
              <w:widowControl w:val="0"/>
              <w:tabs>
                <w:tab w:val="left" w:pos="2125"/>
              </w:tabs>
              <w:autoSpaceDE w:val="0"/>
              <w:autoSpaceDN w:val="0"/>
              <w:spacing w:after="120"/>
              <w:ind w:right="410"/>
              <w:rPr>
                <w:rFonts w:cs="Arial"/>
                <w:sz w:val="18"/>
                <w:szCs w:val="18"/>
              </w:rPr>
            </w:pPr>
            <w:r>
              <w:rPr>
                <w:sz w:val="18"/>
                <w:szCs w:val="18"/>
              </w:rPr>
              <w:t xml:space="preserve">request seeking factual information/professional advice to support governance responsibilities (not to direct operations).</w:t>
            </w:r>
          </w:p>
        </w:tc>
      </w:tr>
      <w:tr>
        <w:tc>
          <w:tcPr>
            <w:tcW w:w="2822" w:type="dxa"/>
            <w:shd w:val="clear" w:color="auto" w:fill="38322F"/>
          </w:tcPr>
          <w:p>
            <w:pPr>
              <w:widowControl w:val="0"/>
              <w:tabs>
                <w:tab w:val="left" w:pos="2125"/>
              </w:tabs>
              <w:autoSpaceDE w:val="0"/>
              <w:autoSpaceDN w:val="0"/>
              <w:spacing w:after="120"/>
              <w:ind w:right="410"/>
              <w:rPr>
                <w:rFonts w:cs="Arial"/>
                <w:sz w:val="18"/>
                <w:szCs w:val="18"/>
                <w:b/>
                <w:bCs/>
                <w:color w:val="FFFFFF"/>
              </w:rPr>
            </w:pPr>
            <w:r>
              <w:rPr>
                <w:sz w:val="18"/>
                <w:szCs w:val="18"/>
                <w:b/>
                <w:bCs/>
                <w:color w:val="FFFFFF"/>
              </w:rPr>
              <w:t>Councillor Request Helpdesk:</w:t>
            </w:r>
          </w:p>
        </w:tc>
        <w:tc>
          <w:tcPr>
            <w:tcW w:w="6948" w:type="dxa"/>
          </w:tcPr>
          <w:p>
            <w:pPr>
              <w:widowControl w:val="0"/>
              <w:tabs>
                <w:tab w:val="left" w:pos="2125"/>
              </w:tabs>
              <w:autoSpaceDE w:val="0"/>
              <w:autoSpaceDN w:val="0"/>
              <w:spacing w:after="120"/>
              <w:ind w:right="410"/>
              <w:rPr>
                <w:rFonts w:cs="Arial"/>
                <w:sz w:val="18"/>
                <w:szCs w:val="18"/>
              </w:rPr>
            </w:pPr>
            <w:r>
              <w:rPr>
                <w:sz w:val="18"/>
                <w:szCs w:val="18"/>
              </w:rPr>
              <w:t>central logging and tracking channel for information/advice requests (helpdeskcouncilreq@portphillip.vic.gov.au).</w:t>
            </w:r>
          </w:p>
        </w:tc>
      </w:tr>
      <w:tr>
        <w:tc>
          <w:tcPr>
            <w:tcW w:w="2822" w:type="dxa"/>
            <w:shd w:val="clear" w:color="auto" w:fill="38322F"/>
          </w:tcPr>
          <w:p>
            <w:pPr>
              <w:widowControl w:val="0"/>
              <w:tabs>
                <w:tab w:val="left" w:pos="2125"/>
              </w:tabs>
              <w:autoSpaceDE w:val="0"/>
              <w:autoSpaceDN w:val="0"/>
              <w:spacing w:after="120"/>
              <w:ind w:right="410"/>
              <w:rPr>
                <w:rFonts w:cs="Arial"/>
                <w:sz w:val="18"/>
                <w:szCs w:val="18"/>
                <w:b/>
                <w:bCs/>
                <w:color w:val="FFFFFF"/>
              </w:rPr>
            </w:pPr>
            <w:r>
              <w:rPr>
                <w:sz w:val="18"/>
                <w:szCs w:val="18"/>
                <w:b/>
                <w:bCs/>
                <w:color w:val="FFFFFF"/>
              </w:rPr>
              <w:t>Service request:</w:t>
            </w:r>
          </w:p>
        </w:tc>
        <w:tc>
          <w:tcPr>
            <w:tcW w:w="6948" w:type="dxa"/>
          </w:tcPr>
          <w:p>
            <w:pPr>
              <w:widowControl w:val="0"/>
              <w:tabs>
                <w:tab w:val="left" w:pos="2125"/>
              </w:tabs>
              <w:autoSpaceDE w:val="0"/>
              <w:autoSpaceDN w:val="0"/>
              <w:spacing w:after="120"/>
              <w:ind w:right="410"/>
              <w:rPr>
                <w:rFonts w:cs="Arial"/>
                <w:sz w:val="18"/>
                <w:szCs w:val="18"/>
              </w:rPr>
            </w:pPr>
            <w:r>
              <w:rPr>
                <w:sz w:val="18"/>
                <w:szCs w:val="18"/>
              </w:rPr>
              <w:t>operational request lodged through Snap Send Solve, My Port Phillip or ASSIST.</w:t>
            </w:r>
          </w:p>
        </w:tc>
      </w:tr>
      <w:tr>
        <w:tc>
          <w:tcPr>
            <w:tcW w:w="2822" w:type="dxa"/>
            <w:shd w:val="clear" w:color="auto" w:fill="38322F"/>
          </w:tcPr>
          <w:p>
            <w:pPr>
              <w:widowControl w:val="0"/>
              <w:tabs>
                <w:tab w:val="left" w:pos="2125"/>
              </w:tabs>
              <w:autoSpaceDE w:val="0"/>
              <w:autoSpaceDN w:val="0"/>
              <w:spacing w:after="120"/>
              <w:ind w:right="410"/>
              <w:rPr>
                <w:rFonts w:cs="Arial"/>
                <w:sz w:val="18"/>
                <w:szCs w:val="18"/>
                <w:b/>
                <w:bCs/>
                <w:color w:val="FFFFFF"/>
              </w:rPr>
            </w:pPr>
            <w:r>
              <w:rPr>
                <w:sz w:val="18"/>
                <w:szCs w:val="18"/>
                <w:b/>
                <w:bCs/>
                <w:color w:val="FFFFFF"/>
              </w:rPr>
              <w:t>Nominated officer:</w:t>
            </w:r>
          </w:p>
        </w:tc>
        <w:tc>
          <w:tcPr>
            <w:tcW w:w="6948" w:type="dxa"/>
          </w:tcPr>
          <w:p>
            <w:pPr>
              <w:widowControl w:val="0"/>
              <w:tabs>
                <w:tab w:val="left" w:pos="2125"/>
              </w:tabs>
              <w:autoSpaceDE w:val="0"/>
              <w:autoSpaceDN w:val="0"/>
              <w:spacing w:after="120"/>
              <w:ind w:right="410"/>
              <w:rPr>
                <w:rFonts w:cs="Arial"/>
                <w:sz w:val="18"/>
                <w:szCs w:val="18"/>
              </w:rPr>
            </w:pPr>
            <w:r>
              <w:rPr>
                <w:sz w:val="18"/>
                <w:szCs w:val="18"/>
              </w:rPr>
              <w:t>officer listed in Table 2 authorised to correspond directly with Councillors for specified matters, subject to oversight.</w:t>
            </w:r>
          </w:p>
        </w:tc>
      </w:tr>
      <w:tr>
        <w:tc>
          <w:tcPr>
            <w:tcW w:w="2822" w:type="dxa"/>
            <w:shd w:val="clear" w:color="auto" w:fill="38322F"/>
          </w:tcPr>
          <w:p>
            <w:pPr>
              <w:widowControl w:val="0"/>
              <w:tabs>
                <w:tab w:val="left" w:pos="2125"/>
              </w:tabs>
              <w:autoSpaceDE w:val="0"/>
              <w:autoSpaceDN w:val="0"/>
              <w:spacing w:after="120"/>
              <w:ind w:right="410"/>
              <w:rPr>
                <w:rFonts w:cs="Arial"/>
                <w:sz w:val="18"/>
                <w:szCs w:val="18"/>
                <w:b/>
                <w:bCs/>
                <w:color w:val="FFFFFF"/>
              </w:rPr>
            </w:pPr>
            <w:r>
              <w:rPr>
                <w:sz w:val="18"/>
                <w:szCs w:val="18"/>
                <w:b/>
                <w:bCs/>
                <w:color w:val="FFFFFF"/>
              </w:rPr>
              <w:t xml:space="preserve">Relevant Manager / Relevant GM: </w:t>
            </w:r>
          </w:p>
        </w:tc>
        <w:tc>
          <w:tcPr>
            <w:tcW w:w="6948" w:type="dxa"/>
          </w:tcPr>
          <w:p>
            <w:pPr>
              <w:widowControl w:val="0"/>
              <w:tabs>
                <w:tab w:val="left" w:pos="2125"/>
              </w:tabs>
              <w:autoSpaceDE w:val="0"/>
              <w:autoSpaceDN w:val="0"/>
              <w:spacing w:after="120"/>
              <w:ind w:right="410"/>
              <w:rPr>
                <w:rFonts w:cs="Arial"/>
                <w:sz w:val="18"/>
                <w:szCs w:val="18"/>
              </w:rPr>
            </w:pPr>
            <w:r>
              <w:rPr>
                <w:sz w:val="18"/>
                <w:szCs w:val="18"/>
              </w:rPr>
              <w:t>accountable manager/GM for the relevant function/portfolio.</w:t>
            </w:r>
          </w:p>
        </w:tc>
      </w:tr>
      <w:tr>
        <w:tc>
          <w:tcPr>
            <w:tcW w:w="2822" w:type="dxa"/>
            <w:shd w:val="clear" w:color="auto" w:fill="38322F"/>
          </w:tcPr>
          <w:p>
            <w:pPr>
              <w:widowControl w:val="0"/>
              <w:tabs>
                <w:tab w:val="left" w:pos="2125"/>
              </w:tabs>
              <w:autoSpaceDE w:val="0"/>
              <w:autoSpaceDN w:val="0"/>
              <w:spacing w:after="120"/>
              <w:ind w:right="410"/>
              <w:rPr>
                <w:rFonts w:cs="Arial"/>
                <w:sz w:val="18"/>
                <w:szCs w:val="18"/>
                <w:b/>
                <w:bCs/>
                <w:color w:val="FFFFFF"/>
              </w:rPr>
            </w:pPr>
            <w:r>
              <w:rPr>
                <w:sz w:val="18"/>
                <w:szCs w:val="18"/>
                <w:b/>
                <w:bCs/>
                <w:color w:val="FFFFFF"/>
              </w:rPr>
              <w:t xml:space="preserve">Confidential information: </w:t>
            </w:r>
          </w:p>
        </w:tc>
        <w:tc>
          <w:tcPr>
            <w:tcW w:w="6948" w:type="dxa"/>
          </w:tcPr>
          <w:p>
            <w:pPr>
              <w:widowControl w:val="0"/>
              <w:tabs>
                <w:tab w:val="left" w:pos="2125"/>
              </w:tabs>
              <w:autoSpaceDE w:val="0"/>
              <w:autoSpaceDN w:val="0"/>
              <w:spacing w:after="120"/>
              <w:ind w:right="410"/>
              <w:rPr>
                <w:rFonts w:cs="Arial"/>
                <w:sz w:val="18"/>
                <w:szCs w:val="18"/>
              </w:rPr>
            </w:pPr>
            <w:r>
              <w:rPr>
                <w:sz w:val="18"/>
                <w:szCs w:val="18"/>
              </w:rPr>
              <w:t>confidential Council items, privacy</w:t>
              <w:noBreakHyphen/>
              <w:t>protected information, employment matters, enforcement investigations, legal privilege, or otherwise protected information.</w:t>
            </w:r>
          </w:p>
        </w:tc>
      </w:tr>
    </w:tbl>
    <w:p>
      <w:pPr>
        <w:pStyle w:val="Heading1"/>
        <w:pageBreakBefore/>
        <w:numPr>
          <w:numId w:val="0"/>
        </w:numPr>
        <w:ind w:left="0" w:hanging="0"/>
      </w:pPr>
      <w:bookmarkStart w:id="9014" w:name="_Toc900000014"/>
      <w:r>
        <w:t xml:space="preserve">ATTACHMENT 1 - Practical Guide for Councillors</w:t>
      </w:r>
      <w:bookmarkEnd w:id="9014"/>
    </w:p>
    <w:p>
      <w:pPr>
        <w:spacing w:after="120" w:line="240" w:lineRule="auto"/>
        <w:ind w:left="0"/>
        <w:rPr>
          <w:b/>
          <w:bCs/>
        </w:rPr>
      </w:pPr>
      <w:r>
        <w:rPr>
          <w:b/>
          <w:bCs/>
        </w:rPr>
        <w:t>What channel do I use? (fast checklist)</w:t>
      </w:r>
    </w:p>
    <w:p>
      <w:pPr>
        <w:numPr>
          <w:ilvl w:val="0"/>
          <w:numId w:val="106"/>
        </w:numPr>
        <w:spacing w:after="120" w:line="240" w:lineRule="auto"/>
        <w:ind w:left="360"/>
        <w:rPr/>
      </w:pPr>
      <w:r>
        <w:rPr/>
        <w:t>Is it governance/strategy/decision-support? Use Information/Advice Request → Email Councillor Request Helpdesk (copy relevant manager/officer if known)</w:t>
      </w:r>
    </w:p>
    <w:p>
      <w:pPr>
        <w:numPr>
          <w:ilvl w:val="0"/>
          <w:numId w:val="106"/>
        </w:numPr>
        <w:spacing w:after="120" w:line="240" w:lineRule="auto"/>
        <w:ind w:left="360"/>
        <w:rPr/>
      </w:pPr>
      <w:r>
        <w:rPr/>
        <w:t xml:space="preserve">Is it an operational issue needing action? (maintenance, waste, amenity, parking, local laws) Use Service Request → Snap Send Solve / My Port Phillip / ASSIST</w:t>
      </w:r>
    </w:p>
    <w:p>
      <w:pPr>
        <w:numPr>
          <w:ilvl w:val="0"/>
          <w:numId w:val="106"/>
        </w:numPr>
        <w:spacing w:after="120" w:line="240" w:lineRule="auto"/>
        <w:ind w:left="360"/>
        <w:rPr/>
      </w:pPr>
      <w:r>
        <w:rPr/>
        <w:t xml:space="preserve">Is it a safety hazard? 000 if emergency; otherwise ASSIST (urgent hazard triage)</w:t>
      </w:r>
    </w:p>
    <w:p>
      <w:pPr>
        <w:numPr>
          <w:ilvl w:val="0"/>
          <w:numId w:val="106"/>
        </w:numPr>
        <w:spacing w:after="120" w:line="240" w:lineRule="auto"/>
        <w:ind w:left="360"/>
        <w:rPr/>
      </w:pPr>
      <w:r>
        <w:rPr/>
        <w:t xml:space="preserve">Is it urgent + reputational/confidential/media sensitive/whole-of-organisation? Contact relevant GM (CEO only if escalation criteria met in 8.6.3)</w:t>
      </w:r>
    </w:p>
    <w:p>
      <w:pPr>
        <w:numPr>
          <w:ilvl w:val="0"/>
          <w:numId w:val="106"/>
        </w:numPr>
        <w:spacing w:after="120" w:line="240" w:lineRule="auto"/>
        <w:ind w:left="360"/>
        <w:rPr/>
      </w:pPr>
      <w:r>
        <w:rPr/>
        <w:t xml:space="preserve">Is a resident unhappy and already used Council channels? Councillor to pass on councillor complaints channels.</w:t>
      </w:r>
    </w:p>
    <w:p>
      <w:pPr>
        <w:spacing w:after="120" w:line="240" w:lineRule="auto"/>
        <w:rPr>
          <w:b/>
          <w:bCs/>
        </w:rPr>
      </w:pPr>
      <w:r>
        <w:rPr>
          <w:b/>
          <w:bCs/>
        </w:rPr>
        <w:t>How to write a good request (reduces follow-ups)</w:t>
      </w:r>
    </w:p>
    <w:p>
      <w:pPr>
        <w:spacing w:after="120" w:line="240" w:lineRule="auto"/>
        <w:rPr/>
      </w:pPr>
      <w:r>
        <w:rPr/>
        <w:t xml:space="preserve">Include these two things where possible:</w:t>
      </w:r>
    </w:p>
    <w:p>
      <w:pPr>
        <w:numPr>
          <w:ilvl w:val="0"/>
          <w:numId w:val="103"/>
        </w:numPr>
        <w:spacing w:after="120" w:line="240" w:lineRule="auto"/>
        <w:rPr/>
      </w:pPr>
      <w:r>
        <w:rPr/>
        <w:t xml:space="preserve">What you are requesting (question or document)</w:t>
      </w:r>
    </w:p>
    <w:p>
      <w:pPr>
        <w:numPr>
          <w:ilvl w:val="0"/>
          <w:numId w:val="103"/>
        </w:numPr>
        <w:spacing w:after="120" w:line="240" w:lineRule="auto"/>
        <w:rPr/>
      </w:pPr>
      <w:r>
        <w:rPr/>
        <w:t>Why (decision/oversight/community representation)</w:t>
      </w:r>
    </w:p>
    <w:p>
      <w:pPr>
        <w:spacing w:after="120" w:line="240" w:lineRule="auto"/>
        <w:ind w:left="0"/>
        <w:rPr>
          <w:b/>
          <w:bCs/>
        </w:rPr>
      </w:pPr>
      <w:r>
        <w:rPr>
          <w:b/>
          <w:bCs/>
        </w:rPr>
        <w:t xml:space="preserve">CC guidance </w:t>
      </w:r>
    </w:p>
    <w:p>
      <w:pPr>
        <w:spacing w:after="120" w:line="240" w:lineRule="auto"/>
        <w:ind w:left="0"/>
        <w:rPr>
          <w:b/>
          <w:bCs/>
        </w:rPr>
      </w:pPr>
      <w:r>
        <w:rPr>
          <w:b/>
          <w:bCs/>
        </w:rPr>
        <w:t xml:space="preserve">When to copy the Mayor and/or all Councillors</w:t>
      </w:r>
    </w:p>
    <w:p>
      <w:pPr>
        <w:numPr>
          <w:ilvl w:val="0"/>
          <w:numId w:val="104"/>
        </w:numPr>
        <w:tabs>
          <w:tab w:val="clear" w:pos="720"/>
          <w:tab w:val="num" w:pos="360"/>
        </w:tabs>
        <w:spacing w:after="120" w:line="240" w:lineRule="auto"/>
        <w:ind w:left="360"/>
        <w:rPr/>
      </w:pPr>
      <w:r>
        <w:rPr/>
        <w:t>Copy the Mayor when the matter involves media sensitivity, advocacy, high reputational risk, or urgent whole-of-organisation coordination (in addition to correct pathways).</w:t>
      </w:r>
    </w:p>
    <w:p>
      <w:pPr>
        <w:numPr>
          <w:ilvl w:val="0"/>
          <w:numId w:val="104"/>
        </w:numPr>
        <w:tabs>
          <w:tab w:val="clear" w:pos="720"/>
          <w:tab w:val="num" w:pos="360"/>
        </w:tabs>
        <w:spacing w:after="120" w:line="240" w:lineRule="auto"/>
        <w:ind w:left="360"/>
        <w:rPr/>
      </w:pPr>
      <w:r>
        <w:rPr/>
        <w:t>Copy all Councillors when the request/response is likely to materially inform Council decision-making, relates to a whole-of-municipality issue, or connects to an upcoming Council report/decision.</w:t>
        <w:br/>
      </w:r>
      <w:r>
        <w:rPr>
          <w:i/>
          <w:iCs/>
        </w:rPr>
        <w:t>(Note: Council may also distribute material decision-informing information to all Councillors via Councillor Notes/briefing, subject to confidentiality.)</w:t>
      </w:r>
    </w:p>
    <w:p>
      <w:pPr>
        <w:spacing w:after="120" w:line="240" w:lineRule="auto"/>
        <w:ind w:left="0"/>
        <w:rPr>
          <w:b/>
          <w:bCs/>
        </w:rPr>
      </w:pPr>
      <w:r>
        <w:rPr>
          <w:b/>
          <w:bCs/>
        </w:rPr>
        <w:t xml:space="preserve">When </w:t>
      </w:r>
      <w:r>
        <w:rPr>
          <w:b/>
          <w:bCs/>
          <w:i/>
          <w:iCs/>
        </w:rPr>
        <w:t>not</w:t>
      </w:r>
      <w:r>
        <w:rPr>
          <w:b/>
          <w:bCs/>
        </w:rPr>
        <w:t xml:space="preserve"> to CC widely</w:t>
      </w:r>
    </w:p>
    <w:p>
      <w:pPr>
        <w:numPr>
          <w:ilvl w:val="0"/>
          <w:numId w:val="105"/>
        </w:numPr>
        <w:tabs>
          <w:tab w:val="clear" w:pos="720"/>
          <w:tab w:val="num" w:pos="360"/>
        </w:tabs>
        <w:spacing w:after="120" w:line="240" w:lineRule="auto"/>
        <w:ind w:left="360"/>
        <w:rPr/>
      </w:pPr>
      <w:r>
        <w:rPr/>
        <w:t>Individual constituent matters, complaints about individuals, investigations, employment issues, privacy/legal matters.</w:t>
      </w:r>
    </w:p>
    <w:p>
      <w:pPr>
        <w:spacing w:after="120" w:line="240" w:lineRule="auto"/>
        <w:ind w:left="0"/>
        <w:rPr>
          <w:b/>
          <w:bCs/>
        </w:rPr>
      </w:pPr>
      <w:r>
        <w:rPr>
          <w:b/>
          <w:bCs/>
        </w:rPr>
        <w:t>Standard messaging you can use with residents (copy/paste)</w:t>
      </w:r>
    </w:p>
    <w:p>
      <w:pPr>
        <w:tabs>
          <w:tab w:val="left" w:pos="5490"/>
        </w:tabs>
        <w:spacing w:after="120" w:line="240" w:lineRule="auto"/>
        <w:ind w:left="0"/>
        <w:rPr>
          <w:b/>
          <w:bCs/>
        </w:rPr>
      </w:pPr>
      <w:r>
        <w:rPr>
          <w:b/>
          <w:bCs/>
        </w:rPr>
        <w:t>1) Directing a resident to log a service request</w:t>
        <w:tab/>
      </w:r>
    </w:p>
    <w:p>
      <w:pPr>
        <w:spacing w:after="120" w:line="240" w:lineRule="auto"/>
        <w:ind w:left="0"/>
        <w:rPr>
          <w:i/>
          <w:iCs/>
        </w:rPr>
      </w:pPr>
      <w:r>
        <w:rPr>
          <w:i/>
          <w:iCs/>
        </w:rPr>
        <w:t xml:space="preserve">Thanks for letting me know. The fastest way to get this actioned is to lodge it through Council’s customer channels so it can be triaged and dispatched: Snap Send Solve, My Port Phillip, or ASSIST. If you share the reference number once lodged, I can help track progress if needed.</w:t>
      </w:r>
    </w:p>
    <w:p>
      <w:pPr>
        <w:spacing w:after="120" w:line="240" w:lineRule="auto"/>
        <w:ind w:left="0"/>
        <w:rPr>
          <w:b/>
          <w:bCs/>
        </w:rPr>
      </w:pPr>
      <w:r>
        <w:rPr>
          <w:b/>
          <w:bCs/>
        </w:rPr>
        <w:t>2) When the resident has already logged it and is dissatisfied (escalation)</w:t>
      </w:r>
    </w:p>
    <w:p>
      <w:pPr>
        <w:spacing w:after="120" w:line="240" w:lineRule="auto"/>
        <w:ind w:left="0"/>
        <w:rPr>
          <w:i/>
          <w:iCs/>
        </w:rPr>
      </w:pPr>
      <w:r>
        <w:rPr>
          <w:i/>
          <w:iCs/>
        </w:rPr>
        <w:t xml:space="preserve">If you’ve already lodged this with Council and you’re not satisfied with the outcome, please lodge a complaint using MyPortPhillip or by calling ASSIST.</w:t>
      </w:r>
    </w:p>
    <w:p>
      <w:pPr>
        <w:spacing w:after="120" w:line="240" w:lineRule="auto"/>
        <w:ind w:left="0"/>
        <w:rPr>
          <w:b/>
          <w:bCs/>
        </w:rPr>
      </w:pPr>
      <w:r>
        <w:rPr>
          <w:b/>
          <w:bCs/>
        </w:rPr>
        <w:t>4) Safety hazards</w:t>
      </w:r>
    </w:p>
    <w:p>
      <w:pPr>
        <w:spacing w:after="120" w:line="240" w:lineRule="auto"/>
        <w:ind w:left="0"/>
        <w:rPr/>
      </w:pPr>
      <w:r>
        <w:rPr/>
        <w:t>If there is an immediate risk to safety, please call 000. If it’s urgent but not an emergency, contact ASSIST so Council can dispatch the appropriate response.</w:t>
      </w:r>
    </w:p>
    <w:p>
      <w:pPr>
        <w:spacing w:after="120" w:line="240" w:lineRule="auto"/>
        <w:ind w:left="0"/>
        <w:rPr>
          <w:b/>
          <w:bCs/>
        </w:rPr>
      </w:pPr>
      <w:r>
        <w:rPr>
          <w:b/>
          <w:bCs/>
        </w:rPr>
        <w:t>Quick contacts (add local details)</w:t>
      </w:r>
    </w:p>
    <w:p>
      <w:pPr>
        <w:numPr>
          <w:ilvl w:val="0"/>
          <w:numId w:val="107"/>
        </w:numPr>
        <w:tabs>
          <w:tab w:val="clear" w:pos="720"/>
          <w:tab w:val="num" w:pos="360"/>
        </w:tabs>
        <w:spacing w:after="120" w:line="240" w:lineRule="auto"/>
        <w:ind w:left="360"/>
        <w:rPr/>
      </w:pPr>
      <w:r>
        <w:rPr/>
        <w:t xml:space="preserve">Councillor Request Helpdesk: helpdeskcouncilreq@portphillip.vic.gov.au (internal email address only)</w:t>
      </w:r>
    </w:p>
    <w:p>
      <w:pPr>
        <w:numPr>
          <w:ilvl w:val="0"/>
          <w:numId w:val="107"/>
        </w:numPr>
        <w:tabs>
          <w:tab w:val="clear" w:pos="720"/>
          <w:tab w:val="num" w:pos="360"/>
        </w:tabs>
        <w:spacing w:after="120" w:line="240" w:lineRule="auto"/>
        <w:ind w:left="360"/>
        <w:rPr/>
      </w:pPr>
      <w:r>
        <w:rPr/>
        <w:t>ASSIST: 9209 6777</w:t>
      </w:r>
    </w:p>
    <w:p>
      <w:pPr>
        <w:numPr>
          <w:ilvl w:val="0"/>
          <w:numId w:val="107"/>
        </w:numPr>
        <w:tabs>
          <w:tab w:val="clear" w:pos="720"/>
          <w:tab w:val="num" w:pos="360"/>
        </w:tabs>
        <w:spacing w:after="120" w:line="240" w:lineRule="auto"/>
        <w:ind w:left="360"/>
        <w:rPr/>
      </w:pPr>
      <w:r>
        <w:rPr/>
        <w:t>Media: Coordinator Media (per Section 7.5)</w:t>
      </w:r>
    </w:p>
    <w:p>
      <w:pPr>
        <w:numPr>
          <w:ilvl w:val="0"/>
          <w:numId w:val="107"/>
        </w:numPr>
        <w:tabs>
          <w:tab w:val="clear" w:pos="720"/>
          <w:tab w:val="num" w:pos="360"/>
        </w:tabs>
        <w:spacing w:after="120" w:line="240" w:lineRule="auto"/>
        <w:ind w:left="360"/>
        <w:rPr/>
      </w:pPr>
      <w:r>
        <w:rPr/>
        <w:t xml:space="preserve">Governance: Head of Governance / Governance team </w:t>
      </w:r>
      <w:hyperlink r:id="rId202" w:history="1">
        <w:r>
          <w:rPr>
            <w:rStyle w:val="Hyperlink"/>
          </w:rPr>
          <w:t>governance@portphillip.vic.gov.au</w:t>
        </w:r>
      </w:hyperlink>
      <w:r>
        <w:rPr/>
        <w:t xml:space="preserve"> </w:t>
      </w:r>
    </w:p>
    <w:p>
      <w:pPr>
        <w:numPr>
          <w:ilvl w:val="0"/>
          <w:numId w:val="107"/>
        </w:numPr>
        <w:tabs>
          <w:tab w:val="clear" w:pos="720"/>
          <w:tab w:val="num" w:pos="360"/>
        </w:tabs>
        <w:spacing w:after="120" w:line="240" w:lineRule="auto"/>
        <w:ind w:left="360"/>
        <w:rPr/>
      </w:pPr>
      <w:r>
        <w:rPr/>
        <w:t xml:space="preserve">MCO/Councillor Support: Mayor &amp; Councillors’ Office helpmayo@portphillip.vic.gov.au</w:t>
      </w:r>
    </w:p>
    <w:p>
      <w:pPr>
        <w:pStyle w:val="Heading1"/>
        <w:pageBreakBefore/>
        <w:numPr>
          <w:numId w:val="0"/>
        </w:numPr>
        <w:ind w:left="0" w:hanging="0"/>
      </w:pPr>
      <w:bookmarkStart w:id="9015" w:name="_Toc900000015"/>
      <w:r>
        <w:t xml:space="preserve">ATTACHMENT 2 - Practical Guide for Council Officers </w:t>
      </w:r>
      <w:bookmarkEnd w:id="9015"/>
    </w:p>
    <w:p>
      <w:pPr>
        <w:spacing w:after="120" w:line="240" w:lineRule="auto"/>
        <w:ind w:left="0"/>
        <w:rPr>
          <w:b/>
          <w:bCs/>
        </w:rPr>
      </w:pPr>
      <w:r>
        <w:rPr>
          <w:b/>
          <w:bCs/>
        </w:rPr>
        <w:t>Rules to follow</w:t>
      </w:r>
    </w:p>
    <w:p>
      <w:pPr>
        <w:numPr>
          <w:ilvl w:val="0"/>
          <w:numId w:val="108"/>
        </w:numPr>
        <w:tabs>
          <w:tab w:val="clear" w:pos="720"/>
          <w:tab w:val="num" w:pos="360"/>
        </w:tabs>
        <w:spacing w:after="120" w:line="240" w:lineRule="auto"/>
        <w:ind w:left="360"/>
        <w:rPr/>
      </w:pPr>
      <w:r>
        <w:rPr/>
        <w:t>Stay professional and factual (assume it is a business record).</w:t>
      </w:r>
    </w:p>
    <w:p>
      <w:pPr>
        <w:numPr>
          <w:ilvl w:val="0"/>
          <w:numId w:val="108"/>
        </w:numPr>
        <w:tabs>
          <w:tab w:val="clear" w:pos="720"/>
          <w:tab w:val="num" w:pos="360"/>
        </w:tabs>
        <w:spacing w:after="120" w:line="240" w:lineRule="auto"/>
        <w:ind w:left="360"/>
        <w:rPr/>
      </w:pPr>
      <w:r>
        <w:rPr/>
        <w:t>Councillors do not direct or prioritise operational work. All operational requests must be triaged through Council systems to ensure fairness, safety, and transparency.</w:t>
      </w:r>
    </w:p>
    <w:p>
      <w:pPr>
        <w:numPr>
          <w:ilvl w:val="0"/>
          <w:numId w:val="108"/>
        </w:numPr>
        <w:tabs>
          <w:tab w:val="clear" w:pos="720"/>
          <w:tab w:val="num" w:pos="360"/>
        </w:tabs>
        <w:spacing w:after="120" w:line="240" w:lineRule="auto"/>
        <w:ind w:left="360"/>
        <w:rPr/>
      </w:pPr>
      <w:r>
        <w:rPr/>
        <w:t>Use the right pathway (helpdesk for info/advice logging; ASSIST for service/escalations).</w:t>
      </w:r>
    </w:p>
    <w:p>
      <w:pPr>
        <w:numPr>
          <w:ilvl w:val="0"/>
          <w:numId w:val="108"/>
        </w:numPr>
        <w:tabs>
          <w:tab w:val="clear" w:pos="720"/>
          <w:tab w:val="num" w:pos="360"/>
        </w:tabs>
        <w:spacing w:after="120" w:line="240" w:lineRule="auto"/>
        <w:ind w:left="360"/>
        <w:rPr/>
      </w:pPr>
      <w:r>
        <w:rPr/>
        <w:t>Keep oversight (copy manager/helpdesk as required).</w:t>
      </w:r>
    </w:p>
    <w:p>
      <w:pPr>
        <w:numPr>
          <w:ilvl w:val="0"/>
          <w:numId w:val="108"/>
        </w:numPr>
        <w:tabs>
          <w:tab w:val="clear" w:pos="720"/>
          <w:tab w:val="num" w:pos="360"/>
        </w:tabs>
        <w:spacing w:after="120" w:line="240" w:lineRule="auto"/>
        <w:ind w:left="360"/>
        <w:rPr/>
      </w:pPr>
      <w:r>
        <w:rPr/>
        <w:t>Escalate early if sensitive, urgent, cross-team, or high risk.</w:t>
      </w:r>
    </w:p>
    <w:p>
      <w:pPr>
        <w:spacing w:after="120" w:line="240" w:lineRule="auto"/>
        <w:ind w:left="0"/>
        <w:rPr>
          <w:b/>
          <w:bCs/>
        </w:rPr>
      </w:pPr>
      <w:r>
        <w:rPr>
          <w:b/>
          <w:bCs/>
        </w:rPr>
        <w:t>How and when to contact/respond to Councillors</w:t>
      </w:r>
    </w:p>
    <w:tbl>
      <w:tblPr>
        <w:tblStyle w:val="TableGrid"/>
        <w:tblW w:w="977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1921"/>
        <w:gridCol w:w="1966"/>
        <w:gridCol w:w="1497"/>
        <w:gridCol w:w="1814"/>
        <w:gridCol w:w="2572"/>
      </w:tblGrid>
      <w:tr>
        <w:trPr>
          <w:tblHeader/>
        </w:trPr>
        <w:tc>
          <w:tcPr>
            <w:tcW w:w="0" w:type="auto"/>
            <w:shd w:val="clear" w:color="auto" w:fill="38322F"/>
          </w:tcPr>
          <w:p>
            <w:pPr>
              <w:spacing w:after="120"/>
              <w:rPr>
                <w:rFonts w:cs="Arial"/>
                <w:sz w:val="20"/>
                <w:szCs w:val="20"/>
                <w:b/>
                <w:bCs/>
                <w:color w:val="FFFFFF"/>
              </w:rPr>
            </w:pPr>
            <w:r>
              <w:rPr>
                <w:sz w:val="20"/>
                <w:szCs w:val="20"/>
                <w:b/>
                <w:bCs/>
                <w:color w:val="FFFFFF"/>
              </w:rPr>
              <w:t>Scenario / Interaction Type</w:t>
            </w:r>
          </w:p>
        </w:tc>
        <w:tc>
          <w:tcPr>
            <w:tcW w:w="0" w:type="auto"/>
            <w:shd w:val="clear" w:color="auto" w:fill="38322F"/>
          </w:tcPr>
          <w:p>
            <w:pPr>
              <w:spacing w:after="120"/>
              <w:rPr>
                <w:rFonts w:cs="Arial"/>
                <w:sz w:val="20"/>
                <w:szCs w:val="20"/>
                <w:b/>
                <w:bCs/>
                <w:color w:val="FFFFFF"/>
              </w:rPr>
            </w:pPr>
            <w:r>
              <w:rPr>
                <w:sz w:val="20"/>
                <w:szCs w:val="20"/>
                <w:b/>
                <w:bCs/>
                <w:color w:val="FFFFFF"/>
              </w:rPr>
              <w:t>When Officers Should Engage</w:t>
            </w:r>
          </w:p>
        </w:tc>
        <w:tc>
          <w:tcPr>
            <w:tcW w:w="0" w:type="auto"/>
            <w:shd w:val="clear" w:color="auto" w:fill="38322F"/>
          </w:tcPr>
          <w:p>
            <w:pPr>
              <w:spacing w:after="120"/>
              <w:rPr>
                <w:rFonts w:cs="Arial"/>
                <w:sz w:val="20"/>
                <w:szCs w:val="20"/>
                <w:b/>
                <w:bCs/>
                <w:color w:val="FFFFFF"/>
              </w:rPr>
            </w:pPr>
            <w:r>
              <w:rPr>
                <w:sz w:val="20"/>
                <w:szCs w:val="20"/>
                <w:b/>
                <w:bCs/>
                <w:color w:val="FFFFFF"/>
              </w:rPr>
              <w:t>How to Engage</w:t>
            </w:r>
          </w:p>
        </w:tc>
        <w:tc>
          <w:tcPr>
            <w:tcW w:w="0" w:type="auto"/>
            <w:shd w:val="clear" w:color="auto" w:fill="38322F"/>
          </w:tcPr>
          <w:p>
            <w:pPr>
              <w:spacing w:after="120"/>
              <w:rPr>
                <w:rFonts w:cs="Arial"/>
                <w:sz w:val="20"/>
                <w:szCs w:val="20"/>
                <w:b/>
                <w:bCs/>
                <w:color w:val="FFFFFF"/>
              </w:rPr>
            </w:pPr>
            <w:r>
              <w:rPr>
                <w:sz w:val="20"/>
                <w:szCs w:val="20"/>
                <w:b/>
                <w:bCs/>
                <w:color w:val="FFFFFF"/>
              </w:rPr>
              <w:t>Who Must Be Copied / Involved</w:t>
            </w:r>
          </w:p>
        </w:tc>
        <w:tc>
          <w:tcPr>
            <w:tcW w:w="2571" w:type="dxa"/>
            <w:shd w:val="clear" w:color="auto" w:fill="38322F"/>
          </w:tcPr>
          <w:p>
            <w:pPr>
              <w:spacing w:after="120"/>
              <w:rPr>
                <w:rFonts w:cs="Arial"/>
                <w:sz w:val="20"/>
                <w:szCs w:val="20"/>
                <w:b/>
                <w:bCs/>
                <w:color w:val="FFFFFF"/>
              </w:rPr>
            </w:pPr>
            <w:r>
              <w:rPr>
                <w:sz w:val="20"/>
                <w:szCs w:val="20"/>
                <w:b/>
                <w:bCs/>
                <w:color w:val="FFFFFF"/>
              </w:rPr>
              <w:t>Key Rules &amp; Notes for Officers</w:t>
            </w:r>
          </w:p>
        </w:tc>
      </w:tr>
      <w:tr>
        <w:tc>
          <w:tcPr>
            <w:tcW w:w="0" w:type="auto"/>
          </w:tcPr>
          <w:p>
            <w:pPr>
              <w:spacing w:after="120"/>
              <w:rPr>
                <w:rFonts w:cs="Arial"/>
                <w:b/>
                <w:bCs/>
                <w:sz w:val="20"/>
                <w:szCs w:val="20"/>
              </w:rPr>
            </w:pPr>
            <w:r>
              <w:rPr>
                <w:b/>
                <w:bCs/>
                <w:sz w:val="20"/>
                <w:szCs w:val="20"/>
              </w:rPr>
              <w:t xml:space="preserve">Proactive information sharing (general project/ operational updates) </w:t>
            </w:r>
          </w:p>
        </w:tc>
        <w:tc>
          <w:tcPr>
            <w:tcW w:w="0" w:type="auto"/>
          </w:tcPr>
          <w:p>
            <w:pPr>
              <w:spacing w:after="120"/>
              <w:rPr>
                <w:rFonts w:cs="Arial"/>
                <w:sz w:val="20"/>
                <w:szCs w:val="20"/>
              </w:rPr>
            </w:pPr>
            <w:r>
              <w:rPr>
                <w:sz w:val="20"/>
                <w:szCs w:val="20"/>
              </w:rPr>
              <w:t xml:space="preserve">When providing general updates to Councillors.  </w:t>
            </w:r>
          </w:p>
        </w:tc>
        <w:tc>
          <w:tcPr>
            <w:tcW w:w="0" w:type="auto"/>
          </w:tcPr>
          <w:p>
            <w:pPr>
              <w:spacing w:after="120"/>
              <w:rPr>
                <w:rFonts w:cs="Arial"/>
                <w:sz w:val="20"/>
                <w:szCs w:val="20"/>
              </w:rPr>
            </w:pPr>
            <w:r>
              <w:rPr>
                <w:sz w:val="20"/>
                <w:szCs w:val="20"/>
              </w:rPr>
              <w:t>Councillor Notes</w:t>
            </w:r>
          </w:p>
          <w:p>
            <w:pPr>
              <w:spacing w:after="120"/>
              <w:rPr>
                <w:rFonts w:cs="Arial"/>
                <w:sz w:val="20"/>
                <w:szCs w:val="20"/>
              </w:rPr>
            </w:pPr>
            <w:r>
              <w:rPr>
                <w:sz w:val="20"/>
                <w:szCs w:val="20"/>
              </w:rPr>
              <w:t xml:space="preserve">(urgent items can be emailed if they cannot wait until the next edition of Councillor Notes).  </w:t>
            </w:r>
          </w:p>
        </w:tc>
        <w:tc>
          <w:tcPr>
            <w:tcW w:w="0" w:type="auto"/>
          </w:tcPr>
          <w:p>
            <w:pPr>
              <w:spacing w:after="120"/>
              <w:rPr>
                <w:rFonts w:cs="Arial"/>
                <w:sz w:val="20"/>
                <w:szCs w:val="20"/>
              </w:rPr>
            </w:pPr>
            <w:r>
              <w:rPr>
                <w:sz w:val="20"/>
                <w:szCs w:val="20"/>
              </w:rPr>
              <w:t xml:space="preserve">Manager approval required before submission. </w:t>
            </w:r>
          </w:p>
          <w:p>
            <w:pPr>
              <w:spacing w:after="120"/>
              <w:rPr>
                <w:rFonts w:cs="Arial"/>
                <w:sz w:val="20"/>
                <w:szCs w:val="20"/>
              </w:rPr>
            </w:pPr>
          </w:p>
        </w:tc>
        <w:tc>
          <w:tcPr>
            <w:tcW w:w="2571" w:type="dxa"/>
          </w:tcPr>
          <w:p>
            <w:pPr>
              <w:spacing w:after="120"/>
              <w:rPr>
                <w:rFonts w:cs="Arial"/>
                <w:sz w:val="20"/>
                <w:szCs w:val="20"/>
              </w:rPr>
            </w:pPr>
            <w:r>
              <w:rPr>
                <w:sz w:val="20"/>
                <w:szCs w:val="20"/>
              </w:rPr>
              <w:t>Submit by the internal cut-off (e.g., 12pm Tuesday). Use urgent email only when it cannot wait; keep it factual and consistent.</w:t>
            </w:r>
          </w:p>
          <w:p>
            <w:pPr>
              <w:spacing w:after="120"/>
              <w:rPr>
                <w:rFonts w:cs="Arial"/>
                <w:sz w:val="20"/>
                <w:szCs w:val="20"/>
              </w:rPr>
            </w:pPr>
          </w:p>
        </w:tc>
      </w:tr>
      <w:tr>
        <w:tc>
          <w:tcPr>
            <w:tcW w:w="0" w:type="auto"/>
          </w:tcPr>
          <w:p>
            <w:pPr>
              <w:spacing w:after="120"/>
              <w:rPr>
                <w:rFonts w:cs="Arial"/>
                <w:b/>
                <w:bCs/>
                <w:sz w:val="20"/>
                <w:szCs w:val="20"/>
              </w:rPr>
            </w:pPr>
            <w:r>
              <w:rPr>
                <w:b/>
                <w:bCs/>
                <w:sz w:val="20"/>
                <w:szCs w:val="20"/>
              </w:rPr>
              <w:t>Responding to a Councillor request for information or advice</w:t>
            </w:r>
          </w:p>
        </w:tc>
        <w:tc>
          <w:tcPr>
            <w:tcW w:w="0" w:type="auto"/>
          </w:tcPr>
          <w:p>
            <w:pPr>
              <w:spacing w:after="120"/>
              <w:rPr>
                <w:rFonts w:cs="Arial"/>
                <w:sz w:val="20"/>
                <w:szCs w:val="20"/>
              </w:rPr>
            </w:pPr>
            <w:r>
              <w:rPr>
                <w:sz w:val="20"/>
                <w:szCs w:val="20"/>
              </w:rPr>
              <w:t xml:space="preserve">When a request has been logged through the Councillor request helpdesk (or received directly from a councillor). </w:t>
            </w:r>
          </w:p>
        </w:tc>
        <w:tc>
          <w:tcPr>
            <w:tcW w:w="0" w:type="auto"/>
          </w:tcPr>
          <w:p>
            <w:pPr>
              <w:spacing w:after="120"/>
              <w:rPr>
                <w:rFonts w:cs="Arial"/>
                <w:sz w:val="20"/>
                <w:szCs w:val="20"/>
              </w:rPr>
            </w:pPr>
            <w:r>
              <w:rPr>
                <w:sz w:val="20"/>
                <w:szCs w:val="20"/>
              </w:rPr>
              <w:t>Respond in writing.</w:t>
            </w:r>
          </w:p>
        </w:tc>
        <w:tc>
          <w:tcPr>
            <w:tcW w:w="0" w:type="auto"/>
          </w:tcPr>
          <w:p>
            <w:pPr>
              <w:spacing w:after="120"/>
              <w:rPr>
                <w:rFonts w:cs="Arial"/>
                <w:sz w:val="20"/>
                <w:szCs w:val="20"/>
              </w:rPr>
            </w:pPr>
            <w:r>
              <w:rPr>
                <w:sz w:val="20"/>
                <w:szCs w:val="20"/>
              </w:rPr>
              <w:t xml:space="preserve">Managers and Officers listed in Table 2 may respond. Manager and request helpdesk must be copied in. </w:t>
            </w:r>
          </w:p>
        </w:tc>
        <w:tc>
          <w:tcPr>
            <w:tcW w:w="2571" w:type="dxa"/>
          </w:tcPr>
          <w:p>
            <w:pPr>
              <w:spacing w:after="120"/>
              <w:rPr>
                <w:rFonts w:cs="Arial"/>
                <w:sz w:val="20"/>
                <w:szCs w:val="20"/>
              </w:rPr>
            </w:pPr>
            <w:r>
              <w:rPr>
                <w:sz w:val="20"/>
                <w:szCs w:val="20"/>
              </w:rPr>
              <w:t>Aim to respond within 5 business days (standard) or 10 business days (complex). Advise revised timelines if delays are expected.</w:t>
            </w:r>
          </w:p>
        </w:tc>
      </w:tr>
      <w:tr>
        <w:tc>
          <w:tcPr>
            <w:tcW w:w="0" w:type="auto"/>
          </w:tcPr>
          <w:p>
            <w:pPr>
              <w:spacing w:after="120"/>
              <w:rPr>
                <w:rFonts w:cs="Arial"/>
                <w:b/>
                <w:bCs/>
                <w:sz w:val="20"/>
                <w:szCs w:val="20"/>
              </w:rPr>
            </w:pPr>
            <w:r>
              <w:rPr>
                <w:b/>
                <w:bCs/>
                <w:sz w:val="20"/>
                <w:szCs w:val="20"/>
              </w:rPr>
              <w:t>Follow</w:t>
            </w:r>
            <w:r>
              <w:rPr>
                <w:b/>
                <w:bCs/>
                <w:sz w:val="20"/>
                <w:szCs w:val="20"/>
              </w:rPr>
              <w:t>‑</w:t>
            </w:r>
            <w:r>
              <w:rPr>
                <w:b/>
                <w:bCs/>
                <w:sz w:val="20"/>
                <w:szCs w:val="20"/>
              </w:rPr>
              <w:t>up clarification on the same topic</w:t>
            </w:r>
          </w:p>
        </w:tc>
        <w:tc>
          <w:tcPr>
            <w:tcW w:w="0" w:type="auto"/>
          </w:tcPr>
          <w:p>
            <w:pPr>
              <w:spacing w:after="120"/>
              <w:rPr>
                <w:rFonts w:cs="Arial"/>
                <w:sz w:val="20"/>
                <w:szCs w:val="20"/>
              </w:rPr>
            </w:pPr>
            <w:r>
              <w:rPr>
                <w:sz w:val="20"/>
                <w:szCs w:val="20"/>
              </w:rPr>
              <w:t xml:space="preserve">After an initial officer response, if clarification is sought by councillor. </w:t>
            </w:r>
          </w:p>
        </w:tc>
        <w:tc>
          <w:tcPr>
            <w:tcW w:w="0" w:type="auto"/>
          </w:tcPr>
          <w:p>
            <w:pPr>
              <w:spacing w:after="120"/>
              <w:rPr>
                <w:rFonts w:cs="Arial"/>
                <w:sz w:val="20"/>
                <w:szCs w:val="20"/>
              </w:rPr>
            </w:pPr>
            <w:r>
              <w:rPr>
                <w:sz w:val="20"/>
                <w:szCs w:val="20"/>
              </w:rPr>
              <w:t xml:space="preserve">Email exchange on same topic only. </w:t>
            </w:r>
          </w:p>
        </w:tc>
        <w:tc>
          <w:tcPr>
            <w:tcW w:w="0" w:type="auto"/>
          </w:tcPr>
          <w:p>
            <w:pPr>
              <w:spacing w:after="120"/>
              <w:rPr>
                <w:rFonts w:cs="Arial"/>
                <w:sz w:val="20"/>
                <w:szCs w:val="20"/>
              </w:rPr>
            </w:pPr>
            <w:r>
              <w:rPr>
                <w:sz w:val="20"/>
                <w:szCs w:val="20"/>
              </w:rPr>
              <w:t>Manager and request helpdesk must remain copied in.</w:t>
            </w:r>
          </w:p>
        </w:tc>
        <w:tc>
          <w:tcPr>
            <w:tcW w:w="2571" w:type="dxa"/>
          </w:tcPr>
          <w:p>
            <w:pPr>
              <w:spacing w:after="120"/>
              <w:rPr>
                <w:rFonts w:cs="Arial"/>
                <w:sz w:val="20"/>
                <w:szCs w:val="20"/>
              </w:rPr>
            </w:pPr>
            <w:r>
              <w:rPr>
                <w:sz w:val="20"/>
                <w:szCs w:val="20"/>
              </w:rPr>
              <w:t>Don’t allow scope creep. If a “new request” emerges, ask for it to be lodged via helpdesk for logging/triage.</w:t>
            </w:r>
          </w:p>
          <w:p>
            <w:pPr>
              <w:spacing w:after="120"/>
              <w:rPr>
                <w:rFonts w:cs="Arial"/>
                <w:sz w:val="20"/>
                <w:szCs w:val="20"/>
              </w:rPr>
            </w:pPr>
          </w:p>
        </w:tc>
      </w:tr>
      <w:tr>
        <w:tc>
          <w:tcPr>
            <w:tcW w:w="0" w:type="auto"/>
          </w:tcPr>
          <w:p>
            <w:pPr>
              <w:spacing w:after="120"/>
              <w:rPr>
                <w:rFonts w:cs="Arial"/>
                <w:b/>
                <w:bCs/>
                <w:sz w:val="20"/>
                <w:szCs w:val="20"/>
              </w:rPr>
            </w:pPr>
            <w:r>
              <w:rPr>
                <w:b/>
                <w:bCs/>
                <w:sz w:val="20"/>
                <w:szCs w:val="20"/>
              </w:rPr>
              <w:t>Councillor escalation of dissatisfaction with a response</w:t>
            </w:r>
          </w:p>
        </w:tc>
        <w:tc>
          <w:tcPr>
            <w:tcW w:w="0" w:type="auto"/>
          </w:tcPr>
          <w:p>
            <w:pPr>
              <w:spacing w:after="120"/>
              <w:rPr>
                <w:rFonts w:cs="Arial"/>
                <w:sz w:val="20"/>
                <w:szCs w:val="20"/>
              </w:rPr>
            </w:pPr>
            <w:r>
              <w:rPr>
                <w:sz w:val="20"/>
                <w:szCs w:val="20"/>
              </w:rPr>
              <w:t xml:space="preserve">When a Councillor indicates the officer’s response is inadequate. </w:t>
            </w:r>
          </w:p>
        </w:tc>
        <w:tc>
          <w:tcPr>
            <w:tcW w:w="0" w:type="auto"/>
          </w:tcPr>
          <w:p>
            <w:pPr>
              <w:spacing w:after="120"/>
              <w:rPr>
                <w:rFonts w:cs="Arial"/>
                <w:sz w:val="20"/>
                <w:szCs w:val="20"/>
              </w:rPr>
            </w:pPr>
            <w:r>
              <w:rPr>
                <w:sz w:val="20"/>
                <w:szCs w:val="20"/>
              </w:rPr>
              <w:t xml:space="preserve">Refer to relevant Manager or GM. </w:t>
            </w:r>
          </w:p>
        </w:tc>
        <w:tc>
          <w:tcPr>
            <w:tcW w:w="0" w:type="auto"/>
          </w:tcPr>
          <w:p>
            <w:pPr>
              <w:spacing w:after="120"/>
              <w:rPr>
                <w:rFonts w:cs="Arial"/>
                <w:b/>
                <w:bCs/>
                <w:sz w:val="20"/>
                <w:szCs w:val="20"/>
              </w:rPr>
            </w:pPr>
            <w:r>
              <w:rPr>
                <w:sz w:val="20"/>
                <w:szCs w:val="20"/>
              </w:rPr>
              <w:t xml:space="preserve">Manager / GM sends response. </w:t>
            </w:r>
          </w:p>
        </w:tc>
        <w:tc>
          <w:tcPr>
            <w:tcW w:w="2571" w:type="dxa"/>
          </w:tcPr>
          <w:p>
            <w:pPr>
              <w:spacing w:after="120"/>
              <w:rPr>
                <w:rFonts w:cs="Arial"/>
                <w:sz w:val="20"/>
                <w:szCs w:val="20"/>
              </w:rPr>
            </w:pPr>
            <w:r>
              <w:rPr>
                <w:sz w:val="20"/>
                <w:szCs w:val="20"/>
              </w:rPr>
              <w:t>Officers should not debate once escalation occurs—provide facts to manager/GM and step back.</w:t>
            </w:r>
          </w:p>
        </w:tc>
      </w:tr>
      <w:tr>
        <w:tc>
          <w:tcPr>
            <w:tcW w:w="0" w:type="auto"/>
          </w:tcPr>
          <w:p>
            <w:pPr>
              <w:spacing w:after="120"/>
              <w:rPr>
                <w:rFonts w:cs="Arial"/>
                <w:b/>
                <w:bCs/>
                <w:color w:val="000000"/>
                <w:sz w:val="20"/>
                <w:szCs w:val="20"/>
              </w:rPr>
            </w:pPr>
            <w:r>
              <w:rPr>
                <w:b/>
                <w:bCs/>
                <w:color w:val="000000"/>
                <w:sz w:val="20"/>
                <w:szCs w:val="20"/>
              </w:rPr>
              <w:t>Unauthorised officer contacted by Councillor (outside protocol)</w:t>
            </w:r>
          </w:p>
          <w:p>
            <w:pPr>
              <w:spacing w:after="120"/>
              <w:rPr>
                <w:rFonts w:cs="Arial"/>
                <w:b/>
                <w:bCs/>
                <w:sz w:val="20"/>
                <w:szCs w:val="20"/>
              </w:rPr>
            </w:pPr>
          </w:p>
        </w:tc>
        <w:tc>
          <w:tcPr>
            <w:tcW w:w="0" w:type="auto"/>
          </w:tcPr>
          <w:p>
            <w:pPr>
              <w:spacing w:after="120"/>
              <w:rPr>
                <w:rFonts w:cs="Arial"/>
                <w:sz w:val="20"/>
                <w:szCs w:val="20"/>
              </w:rPr>
            </w:pPr>
            <w:r>
              <w:rPr>
                <w:sz w:val="20"/>
                <w:szCs w:val="20"/>
              </w:rPr>
              <w:t xml:space="preserve">When an officer who is not a Manager/GM or nominated officer (Table 2) is contacted directly by a Councillor about Council business. </w:t>
            </w:r>
          </w:p>
        </w:tc>
        <w:tc>
          <w:tcPr>
            <w:tcW w:w="0" w:type="auto"/>
          </w:tcPr>
          <w:p>
            <w:pPr>
              <w:spacing w:after="120"/>
              <w:rPr>
                <w:rFonts w:cs="Arial"/>
                <w:sz w:val="20"/>
                <w:szCs w:val="20"/>
              </w:rPr>
            </w:pPr>
            <w:r>
              <w:rPr>
                <w:sz w:val="20"/>
                <w:szCs w:val="20"/>
              </w:rPr>
              <w:t xml:space="preserve">Politely redirect to the correct channel and notify manager. </w:t>
            </w:r>
          </w:p>
          <w:p>
            <w:pPr>
              <w:spacing w:after="120"/>
              <w:rPr>
                <w:rFonts w:cs="Arial"/>
                <w:sz w:val="20"/>
                <w:szCs w:val="20"/>
              </w:rPr>
            </w:pPr>
          </w:p>
        </w:tc>
        <w:tc>
          <w:tcPr>
            <w:tcW w:w="0" w:type="auto"/>
          </w:tcPr>
          <w:p>
            <w:pPr>
              <w:spacing w:after="120"/>
              <w:rPr>
                <w:rFonts w:cs="Arial"/>
                <w:sz w:val="20"/>
                <w:szCs w:val="20"/>
              </w:rPr>
            </w:pPr>
            <w:r>
              <w:rPr>
                <w:sz w:val="20"/>
                <w:szCs w:val="20"/>
              </w:rPr>
              <w:t xml:space="preserve">Manager; if repeated, advise Governance. </w:t>
            </w:r>
          </w:p>
          <w:p>
            <w:pPr>
              <w:spacing w:after="120"/>
              <w:rPr>
                <w:rFonts w:cs="Arial"/>
                <w:sz w:val="20"/>
                <w:szCs w:val="20"/>
              </w:rPr>
            </w:pPr>
          </w:p>
        </w:tc>
        <w:tc>
          <w:tcPr>
            <w:tcW w:w="2571" w:type="dxa"/>
          </w:tcPr>
          <w:p>
            <w:pPr>
              <w:spacing w:after="120"/>
              <w:rPr>
                <w:rFonts w:cs="Arial"/>
                <w:sz w:val="20"/>
                <w:szCs w:val="20"/>
              </w:rPr>
            </w:pPr>
            <w:r>
              <w:rPr>
                <w:sz w:val="20"/>
                <w:szCs w:val="20"/>
              </w:rPr>
              <w:t>Use a standard script (below). Officers will be supported for applying boundaries.</w:t>
            </w:r>
          </w:p>
          <w:p>
            <w:pPr>
              <w:spacing w:after="120"/>
              <w:rPr>
                <w:rFonts w:cs="Arial"/>
                <w:sz w:val="20"/>
                <w:szCs w:val="20"/>
              </w:rPr>
            </w:pPr>
          </w:p>
        </w:tc>
      </w:tr>
    </w:tbl>
    <w:p>
      <w:pPr>
        <w:spacing w:after="120" w:line="240" w:lineRule="auto"/>
        <w:ind w:left="0"/>
        <w:rPr>
          <w:b/>
          <w:bCs/>
        </w:rPr>
      </w:pPr>
      <w:r>
        <w:rPr>
          <w:b/>
          <w:bCs/>
        </w:rPr>
        <w:t xml:space="preserve">Scripts for officers </w:t>
      </w:r>
    </w:p>
    <w:p>
      <w:pPr>
        <w:spacing w:after="120" w:line="240" w:lineRule="auto"/>
        <w:ind w:left="0"/>
        <w:rPr>
          <w:b/>
          <w:bCs/>
        </w:rPr>
      </w:pPr>
      <w:r>
        <w:rPr>
          <w:b/>
          <w:bCs/>
        </w:rPr>
        <w:t>1) If a Councillor asks you to action an operational request directly</w:t>
      </w:r>
    </w:p>
    <w:p>
      <w:pPr>
        <w:spacing w:after="120" w:line="240" w:lineRule="auto"/>
        <w:ind w:left="0"/>
        <w:rPr/>
      </w:pPr>
      <w:r>
        <w:rPr>
          <w:i/>
          <w:iCs/>
        </w:rPr>
        <w:t xml:space="preserve">Thanks for raising this. To ensure it’s triaged and dispatched properly, service requests need to go through Snap Send Solve/My Port Phillip/ASSIST. If you have a reference number, I can help ensure it’s with the right team</w:t>
      </w:r>
      <w:r>
        <w:rPr/>
        <w:t>.</w:t>
      </w:r>
    </w:p>
    <w:p>
      <w:pPr>
        <w:spacing w:after="120" w:line="240" w:lineRule="auto"/>
        <w:ind w:left="0"/>
        <w:rPr>
          <w:b/>
          <w:bCs/>
        </w:rPr>
      </w:pPr>
      <w:r>
        <w:rPr>
          <w:b/>
          <w:bCs/>
        </w:rPr>
        <w:t>2) If a Councillor contacts you and you’re not an approved contact</w:t>
      </w:r>
    </w:p>
    <w:p>
      <w:pPr>
        <w:spacing w:after="120" w:line="240" w:lineRule="auto"/>
        <w:ind w:left="0"/>
        <w:rPr>
          <w:i/>
          <w:iCs/>
        </w:rPr>
      </w:pPr>
      <w:r>
        <w:rPr>
          <w:i/>
          <w:iCs/>
        </w:rPr>
        <w:t xml:space="preserve">Thanks for getting in touch. I am not an authorised officer under the Councillor Interaction and Request Protocol. To make sure your request is tracked and responded to properly, I’ve forwarded it to the Councillor Request Helpdesk so it can be logged and handled through the right process.</w:t>
      </w:r>
    </w:p>
    <w:p>
      <w:pPr>
        <w:spacing w:after="120" w:line="240" w:lineRule="auto"/>
        <w:ind w:left="0"/>
        <w:rPr>
          <w:b/>
          <w:bCs/>
        </w:rPr>
      </w:pPr>
      <w:r>
        <w:rPr>
          <w:b/>
          <w:bCs/>
        </w:rPr>
        <w:t xml:space="preserve">3) If a Councillor requests something outside  of role / appears to direct staff</w:t>
      </w:r>
    </w:p>
    <w:p>
      <w:pPr>
        <w:spacing w:after="120" w:line="240" w:lineRule="auto"/>
        <w:ind w:left="0"/>
        <w:rPr>
          <w:i/>
          <w:iCs/>
        </w:rPr>
      </w:pPr>
      <w:r>
        <w:rPr>
          <w:i/>
          <w:iCs/>
        </w:rPr>
        <w:t xml:space="preserve">Thank you for the query. I can provide factual information and advice to support governance decision-making. I’m not able to action or prioritise operational work outside the established process. </w:t>
      </w:r>
    </w:p>
    <w:p>
      <w:pPr>
        <w:spacing w:after="120" w:line="240" w:lineRule="auto"/>
        <w:ind w:left="0"/>
        <w:rPr>
          <w:b/>
          <w:bCs/>
        </w:rPr>
      </w:pPr>
      <w:r>
        <w:rPr>
          <w:b/>
          <w:bCs/>
        </w:rPr>
        <w:t>How officers should raise complaints/concerns</w:t>
      </w:r>
    </w:p>
    <w:p>
      <w:pPr>
        <w:numPr>
          <w:ilvl w:val="0"/>
          <w:numId w:val="109"/>
        </w:numPr>
        <w:spacing w:after="120" w:line="240" w:lineRule="auto"/>
        <w:ind w:left="360"/>
        <w:rPr/>
      </w:pPr>
      <w:r>
        <w:rPr/>
        <w:t xml:space="preserve">In the moment (if safe): set boundaries and redirect to correct channels. </w:t>
      </w:r>
    </w:p>
    <w:p>
      <w:pPr>
        <w:numPr>
          <w:ilvl w:val="0"/>
          <w:numId w:val="109"/>
        </w:numPr>
        <w:spacing w:after="120" w:line="240" w:lineRule="auto"/>
        <w:ind w:left="360"/>
        <w:rPr/>
      </w:pPr>
      <w:r>
        <w:rPr/>
        <w:t xml:space="preserve">Notify your Manager with a short factual summary. </w:t>
      </w:r>
    </w:p>
    <w:p>
      <w:pPr>
        <w:numPr>
          <w:ilvl w:val="0"/>
          <w:numId w:val="109"/>
        </w:numPr>
        <w:spacing w:after="120" w:line="240" w:lineRule="auto"/>
        <w:ind w:left="360"/>
        <w:rPr/>
      </w:pPr>
      <w:r>
        <w:rPr/>
        <w:t xml:space="preserve">Manager escalates to GM if needed. </w:t>
      </w:r>
    </w:p>
    <w:p>
      <w:pPr>
        <w:numPr>
          <w:ilvl w:val="0"/>
          <w:numId w:val="109"/>
        </w:numPr>
        <w:spacing w:after="120" w:line="240" w:lineRule="auto"/>
        <w:ind w:left="360"/>
        <w:rPr/>
      </w:pPr>
      <w:r>
        <w:rPr/>
        <w:t>Written concern to CEO/Governance where required (especially patterns, serious conduct, safety, intimidation, improper influence).</w:t>
      </w:r>
    </w:p>
    <w:p>
      <w:pPr>
        <w:spacing w:after="120" w:line="240" w:lineRule="auto"/>
        <w:rPr>
          <w:b/>
          <w:bCs/>
        </w:rPr>
      </w:pPr>
      <w:r>
        <w:rPr>
          <w:b/>
          <w:bCs/>
        </w:rPr>
        <w:t>Where officers go for help (quick reference)</w:t>
      </w:r>
    </w:p>
    <w:p>
      <w:pPr>
        <w:numPr>
          <w:ilvl w:val="0"/>
          <w:numId w:val="110"/>
        </w:numPr>
        <w:tabs>
          <w:tab w:val="clear" w:pos="720"/>
          <w:tab w:val="num" w:pos="360"/>
        </w:tabs>
        <w:spacing w:after="120" w:line="240" w:lineRule="auto"/>
        <w:ind w:left="360"/>
        <w:rPr/>
      </w:pPr>
      <w:r>
        <w:rPr>
          <w:b/>
          <w:bCs/>
        </w:rPr>
        <w:t>Councillor Request Helpdesk</w:t>
      </w:r>
      <w:r>
        <w:rPr/>
        <w:t xml:space="preserve"> (logging/triage/reporting — owned by CXA): </w:t>
      </w:r>
      <w:hyperlink r:id="rId203" w:history="1">
        <w:r>
          <w:rPr>
            <w:rStyle w:val="Hyperlink"/>
          </w:rPr>
          <w:t>helpdeskcouncilreq@portphillip.vic.gov.au</w:t>
        </w:r>
      </w:hyperlink>
      <w:r>
        <w:rPr/>
        <w:t xml:space="preserve"> </w:t>
      </w:r>
    </w:p>
    <w:p>
      <w:pPr>
        <w:numPr>
          <w:ilvl w:val="0"/>
          <w:numId w:val="110"/>
        </w:numPr>
        <w:tabs>
          <w:tab w:val="clear" w:pos="720"/>
          <w:tab w:val="num" w:pos="360"/>
        </w:tabs>
        <w:spacing w:after="120" w:line="240" w:lineRule="auto"/>
        <w:ind w:left="360"/>
        <w:rPr/>
      </w:pPr>
      <w:r>
        <w:rPr>
          <w:b/>
          <w:bCs/>
        </w:rPr>
        <w:t>Governance</w:t>
      </w:r>
      <w:r>
        <w:rPr/>
        <w:t xml:space="preserve"> (protocol advice, conduct pathways, meeting processes) </w:t>
      </w:r>
      <w:hyperlink r:id="rId204" w:history="1">
        <w:r>
          <w:rPr>
            <w:rStyle w:val="Hyperlink"/>
          </w:rPr>
          <w:t>governance@portphillip.vic.gov.au</w:t>
        </w:r>
      </w:hyperlink>
    </w:p>
    <w:p>
      <w:pPr>
        <w:numPr>
          <w:ilvl w:val="0"/>
          <w:numId w:val="110"/>
        </w:numPr>
        <w:tabs>
          <w:tab w:val="clear" w:pos="720"/>
          <w:tab w:val="num" w:pos="360"/>
        </w:tabs>
        <w:spacing w:after="120" w:line="240" w:lineRule="auto"/>
        <w:ind w:left="360"/>
        <w:rPr/>
      </w:pPr>
      <w:r>
        <w:rPr>
          <w:b/>
          <w:bCs/>
        </w:rPr>
        <w:t>Coordinator Media</w:t>
      </w:r>
      <w:r>
        <w:rPr/>
        <w:t xml:space="preserve"> (all media enquiries)  </w:t>
      </w:r>
      <w:hyperlink r:id="rId205" w:history="1">
        <w:r>
          <w:rPr>
            <w:rStyle w:val="Hyperlink"/>
          </w:rPr>
          <w:t>mediaenquiries@portphillip.vic.gov.au</w:t>
        </w:r>
      </w:hyperlink>
      <w:r>
        <w:rPr/>
        <w:t xml:space="preserve"> </w:t>
      </w:r>
    </w:p>
    <w:p>
      <w:pPr>
        <w:numPr>
          <w:ilvl w:val="0"/>
          <w:numId w:val="110"/>
        </w:numPr>
        <w:tabs>
          <w:tab w:val="clear" w:pos="720"/>
          <w:tab w:val="num" w:pos="360"/>
        </w:tabs>
        <w:spacing w:after="120" w:line="240" w:lineRule="auto"/>
        <w:ind w:left="360"/>
        <w:rPr/>
      </w:pPr>
      <w:r>
        <w:rPr>
          <w:b/>
          <w:bCs/>
        </w:rPr>
        <w:t>MCO/Councillor Support</w:t>
      </w:r>
      <w:r>
        <w:rPr/>
        <w:t xml:space="preserve"> (invites, diaries, admin coordination) helpmayo@portphillip.vic.gov.au</w:t>
      </w:r>
    </w:p>
    <w:p>
      <w:pPr>
        <w:numPr>
          <w:ilvl w:val="0"/>
          <w:numId w:val="110"/>
        </w:numPr>
        <w:tabs>
          <w:tab w:val="clear" w:pos="720"/>
          <w:tab w:val="num" w:pos="360"/>
        </w:tabs>
        <w:spacing w:after="120" w:line="240" w:lineRule="auto"/>
        <w:ind w:left="360"/>
        <w:rPr/>
      </w:pPr>
      <w:r>
        <w:rPr>
          <w:b/>
          <w:bCs/>
        </w:rPr>
        <w:t>Your Manager / GM</w:t>
      </w:r>
      <w:r>
        <w:rPr/>
        <w:t xml:space="preserve"> (escalation, boundaries, sensitive matters)</w:t>
      </w:r>
    </w:p>
    <w:sectPr w:rsidR="00E305D7" w:rsidSect="00504577">
      <w:headerReference w:type="default" r:id="rId21"/>
      <w:footerReference w:type="default" r:id="rId22"/>
      <w:headerReference w:type="first" r:id="rId23"/>
      <w:pgSz w:w="11906" w:h="16838"/>
      <w:pgMar w:top="1440" w:right="1440" w:bottom="1440" w:left="1440" w:header="283"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C8D08" w14:textId="77777777" w:rsidR="00726DE5" w:rsidRDefault="00726DE5" w:rsidP="003C2590">
      <w:pPr>
        <w:spacing w:after="0" w:line="240" w:lineRule="auto"/>
      </w:pPr>
      <w:r>
        <w:separator/>
      </w:r>
    </w:p>
    <w:p w14:paraId="744B5960" w14:textId="77777777" w:rsidR="00726DE5" w:rsidRDefault="00726DE5"/>
    <w:p w14:paraId="09B0A02E" w14:textId="77777777" w:rsidR="00726DE5" w:rsidRDefault="00726DE5" w:rsidP="00614F7B"/>
  </w:endnote>
  <w:endnote w:type="continuationSeparator" w:id="0">
    <w:p w14:paraId="3AA9E575" w14:textId="77777777" w:rsidR="00726DE5" w:rsidRDefault="00726DE5" w:rsidP="003C2590">
      <w:pPr>
        <w:spacing w:after="0" w:line="240" w:lineRule="auto"/>
      </w:pPr>
      <w:r>
        <w:continuationSeparator/>
      </w:r>
    </w:p>
    <w:p w14:paraId="22D4834F" w14:textId="77777777" w:rsidR="00726DE5" w:rsidRDefault="00726DE5"/>
    <w:p w14:paraId="4DBE4451" w14:textId="77777777" w:rsidR="00726DE5" w:rsidRDefault="00726DE5" w:rsidP="00614F7B"/>
  </w:endnote>
  <w:endnote w:type="continuationNotice" w:id="1">
    <w:p w14:paraId="672DD0ED" w14:textId="77777777" w:rsidR="00726DE5" w:rsidRDefault="00726DE5">
      <w:pPr>
        <w:spacing w:after="0" w:line="240" w:lineRule="auto"/>
      </w:pPr>
    </w:p>
    <w:p w14:paraId="63B4F893" w14:textId="77777777" w:rsidR="00726DE5" w:rsidRDefault="00726DE5"/>
    <w:p w14:paraId="30B10F7F" w14:textId="77777777" w:rsidR="00726DE5" w:rsidRDefault="00726DE5" w:rsidP="00614F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oppins SemiBold">
    <w:panose1 w:val="00000700000000000000"/>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0D755" w14:textId="77777777" w:rsidR="00343A30" w:rsidRDefault="00343A30">
    <w:pPr>
      <w:pStyle w:val="Footer"/>
      <w:pBdr>
        <w:top w:val="single" w:sz="4" w:space="4" w:color="D0D0D0"/>
      </w:pBdr>
      <w:tabs>
        <w:tab w:val="clear" w:pos="4513"/>
        <w:tab w:val="clear" w:pos="9026"/>
        <w:tab w:val="right" w:pos="9638"/>
      </w:tabs>
    </w:pPr>
    <w:r>
      <w:rPr>
        <w:rFonts w:cs="Arial"/>
        <w:i/>
        <w:iCs/>
        <w:color w:val="808080"/>
        <w:sz w:val="16"/>
        <w:szCs w:val="16"/>
      </w:rPr>
      <w:t>Councillor Interaction and Request Protocol  |  Version 2</w:t>
    </w:r>
    <w:r>
      <w:rPr>
        <w:sz w:val="20"/>
        <w:szCs w:val="20"/>
      </w:rPr>
      <w:tab/>
    </w:r>
    <w:r>
      <w:rPr>
        <w:rFonts w:cs="Arial"/>
        <w:sz w:val="20"/>
        <w:szCs w:val="20"/>
      </w:rPr>
      <w:fldChar w:fldCharType="begin"/>
    </w:r>
    <w:r>
      <w:rPr>
        <w:rFonts w:cs="Arial"/>
        <w:sz w:val="20"/>
        <w:szCs w:val="20"/>
      </w:rPr>
      <w:instrText xml:space="preserve"> PAGE   \* MERGEFORMAT </w:instrText>
    </w:r>
    <w:r>
      <w:rPr>
        <w:rFonts w:cs="Arial"/>
        <w:sz w:val="20"/>
        <w:szCs w:val="20"/>
      </w:rPr>
      <w:fldChar w:fldCharType="separate"/>
    </w:r>
    <w:r>
      <w:rPr>
        <w:rFonts w:cs="Arial"/>
        <w:noProof/>
        <w:sz w:val="20"/>
        <w:szCs w:val="20"/>
      </w:rPr>
      <w:t>1</w:t>
    </w:r>
    <w:r>
      <w:rPr>
        <w:rFonts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8521C" w14:textId="77777777" w:rsidR="00726DE5" w:rsidRDefault="00726DE5" w:rsidP="003C2590">
      <w:pPr>
        <w:spacing w:after="0" w:line="240" w:lineRule="auto"/>
      </w:pPr>
      <w:r>
        <w:separator/>
      </w:r>
    </w:p>
    <w:p w14:paraId="7392D7F5" w14:textId="77777777" w:rsidR="00726DE5" w:rsidRDefault="00726DE5"/>
    <w:p w14:paraId="6373BF66" w14:textId="77777777" w:rsidR="00726DE5" w:rsidRDefault="00726DE5" w:rsidP="00614F7B"/>
  </w:footnote>
  <w:footnote w:type="continuationSeparator" w:id="0">
    <w:p w14:paraId="2D76E6EF" w14:textId="77777777" w:rsidR="00726DE5" w:rsidRDefault="00726DE5" w:rsidP="003C2590">
      <w:pPr>
        <w:spacing w:after="0" w:line="240" w:lineRule="auto"/>
      </w:pPr>
      <w:r>
        <w:continuationSeparator/>
      </w:r>
    </w:p>
    <w:p w14:paraId="45861BBE" w14:textId="77777777" w:rsidR="00726DE5" w:rsidRDefault="00726DE5"/>
    <w:p w14:paraId="44E31559" w14:textId="77777777" w:rsidR="00726DE5" w:rsidRDefault="00726DE5" w:rsidP="00614F7B"/>
  </w:footnote>
  <w:footnote w:type="continuationNotice" w:id="1">
    <w:p w14:paraId="411E38A7" w14:textId="77777777" w:rsidR="00726DE5" w:rsidRDefault="00726DE5">
      <w:pPr>
        <w:spacing w:after="0" w:line="240" w:lineRule="auto"/>
      </w:pPr>
    </w:p>
    <w:p w14:paraId="3F703B0E" w14:textId="77777777" w:rsidR="00726DE5" w:rsidRDefault="00726DE5"/>
    <w:p w14:paraId="4F966080" w14:textId="77777777" w:rsidR="00726DE5" w:rsidRDefault="00726DE5" w:rsidP="00614F7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558E3" w14:textId="27CF1CB7" w:rsidR="00343A30" w:rsidRPr="00504577" w:rsidRDefault="00DF185C" w:rsidP="00343A30">
    <w:pPr>
      <w:tabs>
        <w:tab w:val="left" w:pos="-3060"/>
        <w:tab w:val="left" w:pos="-2340"/>
        <w:tab w:val="center" w:pos="4819"/>
        <w:tab w:val="left" w:pos="6300"/>
      </w:tabs>
      <w:suppressAutoHyphens/>
      <w:spacing w:before="480" w:after="120" w:line="288" w:lineRule="auto"/>
      <w:rPr>
        <w:sz w:val="24"/>
        <w:szCs w:val="24"/>
      </w:rPr>
    </w:pPr>
    <w:r>
      <w:rPr>
        <w:noProof/>
        <w:sz w:val="24"/>
        <w:szCs w:val="24"/>
      </w:rPr>
      <w:drawing>
        <wp:anchor distT="0" distB="0" distL="114300" distR="114300" simplePos="0" relativeHeight="251658243" behindDoc="1" locked="0" layoutInCell="1" allowOverlap="1" wp14:anchorId="1BE0AE11" wp14:editId="5746FA3C">
          <wp:simplePos x="0" y="0"/>
          <wp:positionH relativeFrom="column">
            <wp:posOffset>5647334</wp:posOffset>
          </wp:positionH>
          <wp:positionV relativeFrom="paragraph">
            <wp:posOffset>7239</wp:posOffset>
          </wp:positionV>
          <wp:extent cx="729900" cy="752446"/>
          <wp:effectExtent l="0" t="0" r="0" b="0"/>
          <wp:wrapNone/>
          <wp:docPr id="2089100807" name="Picture 3" descr="A circle with a palm tree and a building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00807" name="Picture 3" descr="A circle with a palm tree and a building in the middl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29900" cy="752446"/>
                  </a:xfrm>
                  <a:prstGeom prst="rect">
                    <a:avLst/>
                  </a:prstGeom>
                </pic:spPr>
              </pic:pic>
            </a:graphicData>
          </a:graphic>
          <wp14:sizeRelH relativeFrom="margin">
            <wp14:pctWidth>0</wp14:pctWidth>
          </wp14:sizeRelH>
          <wp14:sizeRelV relativeFrom="margin">
            <wp14:pctHeight>0</wp14:pctHeight>
          </wp14:sizeRelV>
        </wp:anchor>
      </w:drawing>
    </w:r>
    <w:r w:rsidR="00504577">
      <w:rPr>
        <w:rFonts w:eastAsia="Times New Roman" w:cs="Arial"/>
        <w:noProof/>
        <w:sz w:val="24"/>
        <w:szCs w:val="24"/>
        <w:lang w:eastAsia="en-AU"/>
      </w:rPr>
      <w:drawing>
        <wp:anchor distT="0" distB="0" distL="114300" distR="114300" simplePos="0" relativeHeight="251658242" behindDoc="1" locked="0" layoutInCell="1" allowOverlap="1" wp14:anchorId="4D8409F1" wp14:editId="565DB890">
          <wp:simplePos x="0" y="0"/>
          <wp:positionH relativeFrom="column">
            <wp:posOffset>-906145</wp:posOffset>
          </wp:positionH>
          <wp:positionV relativeFrom="paragraph">
            <wp:posOffset>-172415</wp:posOffset>
          </wp:positionV>
          <wp:extent cx="7534800" cy="1080000"/>
          <wp:effectExtent l="0" t="0" r="0" b="0"/>
          <wp:wrapNone/>
          <wp:docPr id="1406693854" name="Picture 2" descr="A black and grey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93854" name="Picture 2" descr="A black and grey background&#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7534800" cy="1080000"/>
                  </a:xfrm>
                  <a:prstGeom prst="rect">
                    <a:avLst/>
                  </a:prstGeom>
                </pic:spPr>
              </pic:pic>
            </a:graphicData>
          </a:graphic>
          <wp14:sizeRelH relativeFrom="margin">
            <wp14:pctWidth>0</wp14:pctWidth>
          </wp14:sizeRelH>
          <wp14:sizeRelV relativeFrom="margin">
            <wp14:pctHeight>0</wp14:pctHeight>
          </wp14:sizeRelV>
        </wp:anchor>
      </w:drawing>
    </w:r>
    <w:r w:rsidR="00D66572" w:rsidRPr="00504577">
      <w:rPr>
        <w:rFonts w:eastAsia="Times New Roman" w:cs="Arial"/>
        <w:sz w:val="24"/>
        <w:szCs w:val="24"/>
        <w:lang w:eastAsia="en-AU"/>
      </w:rPr>
      <w:t>Councillor Interaction and Request Protocol</w:t>
    </w:r>
  </w:p>
  <w:p w14:paraId="2615FE97" w14:textId="0BBB3439" w:rsidR="00365258" w:rsidRDefault="00365258"/>
  <w:p w14:paraId="34D4ABA4" w14:textId="77777777" w:rsidR="00F8111D" w:rsidRDefault="00F8111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D8E3B" w14:textId="6933CEC8" w:rsidR="003C2590" w:rsidRPr="00343A30" w:rsidRDefault="005805C0" w:rsidP="00343A30">
    <w:pPr>
      <w:pStyle w:val="Header"/>
      <w:jc w:val="right"/>
    </w:pPr>
    <w:r w:rsidRPr="000666EB">
      <w:rPr>
        <w:noProof/>
        <w:color w:val="404040" w:themeColor="text1" w:themeTint="BF"/>
      </w:rPr>
      <w:drawing>
        <wp:anchor distT="0" distB="0" distL="114300" distR="114300" simplePos="0" relativeHeight="251658240" behindDoc="1" locked="0" layoutInCell="1" allowOverlap="1" wp14:anchorId="7AE4D8CE" wp14:editId="03FF95EF">
          <wp:simplePos x="0" y="0"/>
          <wp:positionH relativeFrom="column">
            <wp:posOffset>-906780</wp:posOffset>
          </wp:positionH>
          <wp:positionV relativeFrom="paragraph">
            <wp:posOffset>-171298</wp:posOffset>
          </wp:positionV>
          <wp:extent cx="7542000" cy="10666800"/>
          <wp:effectExtent l="0" t="0" r="1905" b="1270"/>
          <wp:wrapNone/>
          <wp:docPr id="1688677866" name="Picture 1" descr="A blue and green background with a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77866" name="Picture 1" descr="A blue and green background with a white logo&#10;&#10;AI-generated content may be incorrect."/>
                  <pic:cNvPicPr/>
                </pic:nvPicPr>
                <pic:blipFill>
                  <a:blip r:embed="rId1">
                    <a:alphaModFix/>
                    <a:extLst>
                      <a:ext uri="{BEBA8EAE-BF5A-486C-A8C5-ECC9F3942E4B}">
                        <a14:imgProps xmlns:a14="http://schemas.microsoft.com/office/drawing/2010/main">
                          <a14:imgLayer r:embed="rId2">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7542000" cy="10666800"/>
                  </a:xfrm>
                  <a:prstGeom prst="rect">
                    <a:avLst/>
                  </a:prstGeom>
                </pic:spPr>
              </pic:pic>
            </a:graphicData>
          </a:graphic>
          <wp14:sizeRelH relativeFrom="margin">
            <wp14:pctWidth>0</wp14:pctWidth>
          </wp14:sizeRelH>
          <wp14:sizeRelV relativeFrom="margin">
            <wp14:pctHeight>0</wp14:pctHeight>
          </wp14:sizeRelV>
        </wp:anchor>
      </w:drawing>
    </w:r>
  </w:p>
  <w:p w14:paraId="4DA61A9D" w14:textId="768329D2" w:rsidR="00365258" w:rsidRDefault="00365258"/>
  <w:p w14:paraId="7857E72D" w14:textId="20E85819" w:rsidR="00365258" w:rsidRDefault="00CB2668">
    <w:r w:rsidRPr="005805C0">
      <w:rPr>
        <w:rFonts w:cs="Arial"/>
        <w:b/>
        <w:bCs/>
        <w:noProof/>
        <w:color w:val="38322F"/>
        <w:sz w:val="32"/>
        <w:szCs w:val="32"/>
      </w:rPr>
      <mc:AlternateContent>
        <mc:Choice Requires="wps">
          <w:drawing>
            <wp:anchor distT="45720" distB="45720" distL="114300" distR="114300" simplePos="0" relativeHeight="251658241" behindDoc="0" locked="0" layoutInCell="1" allowOverlap="1" wp14:anchorId="6B64D3C0" wp14:editId="1B1FB2B9">
              <wp:simplePos x="0" y="0"/>
              <wp:positionH relativeFrom="column">
                <wp:posOffset>153035</wp:posOffset>
              </wp:positionH>
              <wp:positionV relativeFrom="paragraph">
                <wp:posOffset>185420</wp:posOffset>
              </wp:positionV>
              <wp:extent cx="2611120" cy="372110"/>
              <wp:effectExtent l="0" t="0" r="0" b="88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1120" cy="372110"/>
                      </a:xfrm>
                      <a:prstGeom prst="rect">
                        <a:avLst/>
                      </a:prstGeom>
                      <a:noFill/>
                      <a:ln w="9525">
                        <a:noFill/>
                        <a:miter lim="800000"/>
                        <a:headEnd/>
                        <a:tailEnd/>
                      </a:ln>
                    </wps:spPr>
                    <wps:txbx>
                      <w:txbxContent>
                        <w:p w14:paraId="4C181648" w14:textId="4D3B721E" w:rsidR="00A070B3" w:rsidRPr="00504577" w:rsidRDefault="00504577" w:rsidP="00504577">
                          <w:pPr>
                            <w:jc w:val="center"/>
                            <w:rPr>
                              <w:color w:val="FFFFFF" w:themeColor="background1"/>
                              <w:sz w:val="44"/>
                              <w:szCs w:val="44"/>
                            </w:rPr>
                          </w:pPr>
                          <w:r w:rsidRPr="00504577">
                            <w:rPr>
                              <w:color w:val="FFFFFF" w:themeColor="background1"/>
                              <w:sz w:val="44"/>
                              <w:szCs w:val="44"/>
                            </w:rPr>
                            <w:t>PROTOCOL</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64D3C0" id="_x0000_t202" coordsize="21600,21600" o:spt="202" path="m,l,21600r21600,l21600,xe">
              <v:stroke joinstyle="miter"/>
              <v:path gradientshapeok="t" o:connecttype="rect"/>
            </v:shapetype>
            <v:shape id="_x0000_s1027" type="#_x0000_t202" style="position:absolute;margin-left:12.05pt;margin-top:14.6pt;width:205.6pt;height:29.3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" filled="f" stroked="f">
              <v:textbox inset="0,0,0,0">
                <w:txbxContent>
                  <w:p w14:paraId="4C181648" w14:textId="4D3B721E" w:rsidR="00A070B3" w:rsidRPr="00504577" w:rsidRDefault="00504577" w:rsidP="00504577">
                    <w:pPr>
                      <w:jc w:val="center"/>
                      <w:rPr>
                        <w:color w:val="FFFFFF" w:themeColor="background1"/>
                        <w:sz w:val="44"/>
                        <w:szCs w:val="44"/>
                      </w:rPr>
                    </w:pPr>
                    <w:r w:rsidRPr="00504577">
                      <w:rPr>
                        <w:color w:val="FFFFFF" w:themeColor="background1"/>
                        <w:sz w:val="44"/>
                        <w:szCs w:val="44"/>
                      </w:rPr>
                      <w:t>PROTOCOL</w:t>
                    </w:r>
                  </w:p>
                </w:txbxContent>
              </v:textbox>
              <w10:wrap type="square"/>
            </v:shape>
          </w:pict>
        </mc:Fallback>
      </mc:AlternateContent>
    </w:r>
  </w:p>
  <w:p w14:paraId="5F4CA9FF" w14:textId="77777777" w:rsidR="00365258" w:rsidRDefault="0036525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413D1"/>
    <w:multiLevelType w:val="hybridMultilevel"/>
    <w:tmpl w:val="FEC8D0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6126128"/>
    <w:multiLevelType w:val="multilevel"/>
    <w:tmpl w:val="0C7434AE"/>
    <w:lvl w:ilvl="0">
      <w:start w:val="1"/>
      <w:numFmt w:val="decimal"/>
      <w:pStyle w:val="Heading1"/>
      <w:lvlText w:val="%1."/>
      <w:lvlJc w:val="left"/>
      <w:pPr>
        <w:ind w:left="360" w:hanging="360"/>
      </w:pPr>
      <w:rPr>
        <w:rFonts w:hint="default"/>
      </w:rPr>
    </w:lvl>
    <w:lvl w:ilvl="1">
      <w:start w:val="1"/>
      <w:numFmt w:val="decimal"/>
      <w:pStyle w:val="Heading2"/>
      <w:isLgl/>
      <w:lvlText w:val="%1.%2."/>
      <w:lvlJc w:val="left"/>
      <w:pPr>
        <w:ind w:left="720" w:hanging="720"/>
      </w:pPr>
      <w:rPr>
        <w:rFonts w:hint="default"/>
      </w:rPr>
    </w:lvl>
    <w:lvl w:ilvl="2">
      <w:start w:val="1"/>
      <w:numFmt w:val="decimal"/>
      <w:pStyle w:val="Heading3"/>
      <w:isLgl/>
      <w:lvlText w:val="%1.%2.%3."/>
      <w:lvlJc w:val="left"/>
      <w:pPr>
        <w:ind w:left="720" w:hanging="720"/>
      </w:pPr>
      <w:rPr>
        <w:rFonts w:hint="default"/>
      </w:rPr>
    </w:lvl>
    <w:lvl w:ilvl="3">
      <w:start w:val="1"/>
      <w:numFmt w:val="lowerLetter"/>
      <w:lvlText w:val="%4)"/>
      <w:lvlJc w:val="left"/>
      <w:pPr>
        <w:ind w:left="1985" w:hanging="567"/>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6DC1D11"/>
    <w:multiLevelType w:val="hybridMultilevel"/>
    <w:tmpl w:val="BB04F9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03F43BE"/>
    <w:multiLevelType w:val="hybridMultilevel"/>
    <w:tmpl w:val="571A108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 w15:restartNumberingAfterBreak="0">
    <w:nsid w:val="2E0C2FF3"/>
    <w:multiLevelType w:val="hybridMultilevel"/>
    <w:tmpl w:val="8D905520"/>
    <w:lvl w:ilvl="0" w:tplc="6254BC1C">
      <w:start w:val="1"/>
      <w:numFmt w:val="bullet"/>
      <w:pStyle w:val="BULLETS"/>
      <w:lvlText w:val=""/>
      <w:lvlJc w:val="left"/>
      <w:pPr>
        <w:tabs>
          <w:tab w:val="num" w:pos="360"/>
        </w:tabs>
        <w:ind w:left="360" w:hanging="360"/>
      </w:pPr>
      <w:rPr>
        <w:rFonts w:ascii="Symbol" w:hAnsi="Symbol" w:hint="default"/>
        <w:color w:val="auto"/>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3A921FF4"/>
    <w:multiLevelType w:val="hybridMultilevel"/>
    <w:tmpl w:val="7CD441CE"/>
    <w:lvl w:ilvl="0" w:tplc="D7A6B4CA">
      <w:start w:val="1"/>
      <w:numFmt w:val="bullet"/>
      <w:pStyle w:val="ListParagraph"/>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4DA733C9"/>
    <w:multiLevelType w:val="hybridMultilevel"/>
    <w:tmpl w:val="A8C8A45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 w15:restartNumberingAfterBreak="0">
    <w:nsid w:val="61E268FF"/>
    <w:multiLevelType w:val="hybridMultilevel"/>
    <w:tmpl w:val="7C66F54A"/>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start w:val="1"/>
      <w:numFmt w:val="bullet"/>
      <w:lvlText w:val="o"/>
      <w:lvlJc w:val="left"/>
      <w:pPr>
        <w:ind w:left="4320" w:hanging="360"/>
      </w:pPr>
      <w:rPr>
        <w:rFonts w:ascii="Courier New" w:hAnsi="Courier New" w:cs="Courier New" w:hint="default"/>
      </w:rPr>
    </w:lvl>
    <w:lvl w:ilvl="5" w:tplc="0C090005">
      <w:start w:val="1"/>
      <w:numFmt w:val="bullet"/>
      <w:lvlText w:val=""/>
      <w:lvlJc w:val="left"/>
      <w:pPr>
        <w:ind w:left="5040" w:hanging="360"/>
      </w:pPr>
      <w:rPr>
        <w:rFonts w:ascii="Wingdings" w:hAnsi="Wingdings" w:hint="default"/>
      </w:rPr>
    </w:lvl>
    <w:lvl w:ilvl="6" w:tplc="0C090001">
      <w:start w:val="1"/>
      <w:numFmt w:val="bullet"/>
      <w:lvlText w:val=""/>
      <w:lvlJc w:val="left"/>
      <w:pPr>
        <w:ind w:left="5760" w:hanging="360"/>
      </w:pPr>
      <w:rPr>
        <w:rFonts w:ascii="Symbol" w:hAnsi="Symbol" w:hint="default"/>
      </w:rPr>
    </w:lvl>
    <w:lvl w:ilvl="7" w:tplc="0C090003">
      <w:start w:val="1"/>
      <w:numFmt w:val="bullet"/>
      <w:lvlText w:val="o"/>
      <w:lvlJc w:val="left"/>
      <w:pPr>
        <w:ind w:left="6480" w:hanging="360"/>
      </w:pPr>
      <w:rPr>
        <w:rFonts w:ascii="Courier New" w:hAnsi="Courier New" w:cs="Courier New" w:hint="default"/>
      </w:rPr>
    </w:lvl>
    <w:lvl w:ilvl="8" w:tplc="0C090005">
      <w:start w:val="1"/>
      <w:numFmt w:val="bullet"/>
      <w:lvlText w:val=""/>
      <w:lvlJc w:val="left"/>
      <w:pPr>
        <w:ind w:left="7200" w:hanging="360"/>
      </w:pPr>
      <w:rPr>
        <w:rFonts w:ascii="Wingdings" w:hAnsi="Wingdings" w:hint="default"/>
      </w:rPr>
    </w:lvl>
  </w:abstractNum>
  <w:abstractNum w:abstractNumId="8" w15:restartNumberingAfterBreak="0">
    <w:nsid w:val="63BB5B9B"/>
    <w:multiLevelType w:val="hybridMultilevel"/>
    <w:tmpl w:val="1E529E10"/>
    <w:lvl w:ilvl="0" w:tplc="0C090003">
      <w:start w:val="1"/>
      <w:numFmt w:val="bullet"/>
      <w:lvlText w:val="o"/>
      <w:lvlJc w:val="left"/>
      <w:pPr>
        <w:ind w:left="1287" w:hanging="360"/>
      </w:pPr>
      <w:rPr>
        <w:rFonts w:ascii="Courier New" w:hAnsi="Courier New" w:cs="Courier New"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9" w15:restartNumberingAfterBreak="0">
    <w:nsid w:val="68F12E8A"/>
    <w:multiLevelType w:val="hybridMultilevel"/>
    <w:tmpl w:val="604E2C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F506D91"/>
    <w:multiLevelType w:val="multilevel"/>
    <w:tmpl w:val="4F30514E"/>
    <w:lvl w:ilvl="0">
      <w:start w:val="1"/>
      <w:numFmt w:val="decimal"/>
      <w:pStyle w:val="TempateHeadingLevel2"/>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00" w15:restartNumberingAfterBreak="0">
    <w:nsid w:val="2FD665CF"/>
    <w:multiLevelType w:val="hybridMultilevel"/>
    <w:tmpl w:val="EA8EF1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1" w15:restartNumberingAfterBreak="0">
    <w:nsid w:val="0B90549C"/>
    <w:multiLevelType w:val="hybridMultilevel"/>
    <w:tmpl w:val="672EE0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2" w15:restartNumberingAfterBreak="0">
    <w:nsid w:val="67724931"/>
    <w:multiLevelType w:val="hybridMultilevel"/>
    <w:tmpl w:val="FDFAF6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3" w15:restartNumberingAfterBreak="0">
    <w:nsid w:val="1BD4536E"/>
    <w:multiLevelType w:val="multilevel"/>
    <w:tmpl w:val="D354C8A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4" w15:restartNumberingAfterBreak="0">
    <w:nsid w:val="5F6166A4"/>
    <w:multiLevelType w:val="multilevel"/>
    <w:tmpl w:val="FC72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7682F18"/>
    <w:multiLevelType w:val="multilevel"/>
    <w:tmpl w:val="D338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8BA6940"/>
    <w:multiLevelType w:val="hybridMultilevel"/>
    <w:tmpl w:val="94E238D0"/>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7" w15:restartNumberingAfterBreak="0">
    <w:nsid w:val="1EB13646"/>
    <w:multiLevelType w:val="multilevel"/>
    <w:tmpl w:val="8FD0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AC83F5D"/>
    <w:multiLevelType w:val="multilevel"/>
    <w:tmpl w:val="13C23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DA744FE"/>
    <w:multiLevelType w:val="hybridMultilevel"/>
    <w:tmpl w:val="F8D6EC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0" w15:restartNumberingAfterBreak="0">
    <w:nsid w:val="76945A0E"/>
    <w:multiLevelType w:val="multilevel"/>
    <w:tmpl w:val="4A28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A486B86"/>
    <w:multiLevelType w:val="hybridMultilevel"/>
    <w:tmpl w:val="5ABA2CC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2" w15:restartNumberingAfterBreak="0">
    <w:nsid w:val="57471967"/>
    <w:multiLevelType w:val="hybridMultilevel"/>
    <w:tmpl w:val="DD6E856A"/>
    <w:lvl w:ilvl="0" w:tplc="921A6D76">
      <w:numFmt w:val="bullet"/>
      <w:lvlText w:val="-"/>
      <w:lvlJc w:val="left"/>
      <w:pPr>
        <w:ind w:left="360" w:hanging="360"/>
      </w:pPr>
      <w:rPr>
        <w:rFonts w:ascii="Arial" w:eastAsiaTheme="minorHAnsi" w:hAnsi="Arial" w:cs="Aria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505246402">
    <w:abstractNumId w:val="10"/>
  </w:num>
  <w:num w:numId="2" w16cid:durableId="359939399">
    <w:abstractNumId w:val="1"/>
  </w:num>
  <w:num w:numId="3" w16cid:durableId="233130931">
    <w:abstractNumId w:val="5"/>
  </w:num>
  <w:num w:numId="4" w16cid:durableId="2088918033">
    <w:abstractNumId w:val="7"/>
  </w:num>
  <w:num w:numId="5" w16cid:durableId="966004981">
    <w:abstractNumId w:val="3"/>
  </w:num>
  <w:num w:numId="6" w16cid:durableId="2095543904">
    <w:abstractNumId w:val="4"/>
  </w:num>
  <w:num w:numId="7" w16cid:durableId="1564606868">
    <w:abstractNumId w:val="6"/>
  </w:num>
  <w:num w:numId="8" w16cid:durableId="1769226808">
    <w:abstractNumId w:val="1"/>
  </w:num>
  <w:num w:numId="9" w16cid:durableId="30495025">
    <w:abstractNumId w:val="1"/>
  </w:num>
  <w:num w:numId="10" w16cid:durableId="500856098">
    <w:abstractNumId w:val="5"/>
  </w:num>
  <w:num w:numId="11" w16cid:durableId="1567494930">
    <w:abstractNumId w:val="5"/>
  </w:num>
  <w:num w:numId="12" w16cid:durableId="459107264">
    <w:abstractNumId w:val="8"/>
  </w:num>
  <w:num w:numId="13" w16cid:durableId="308095220">
    <w:abstractNumId w:val="1"/>
  </w:num>
  <w:num w:numId="14" w16cid:durableId="80369727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01873316">
    <w:abstractNumId w:val="0"/>
  </w:num>
  <w:num w:numId="16" w16cid:durableId="1482696558">
    <w:abstractNumId w:val="9"/>
  </w:num>
  <w:num w:numId="17" w16cid:durableId="648898023">
    <w:abstractNumId w:val="2"/>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w:val="tru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387"/>
    <w:rsid w:val="00003807"/>
    <w:rsid w:val="000124B8"/>
    <w:rsid w:val="00012CF2"/>
    <w:rsid w:val="00017F19"/>
    <w:rsid w:val="00021C8B"/>
    <w:rsid w:val="00024349"/>
    <w:rsid w:val="00025BD8"/>
    <w:rsid w:val="00026D9F"/>
    <w:rsid w:val="000304B2"/>
    <w:rsid w:val="000307EA"/>
    <w:rsid w:val="0003338C"/>
    <w:rsid w:val="000363C2"/>
    <w:rsid w:val="00036AC5"/>
    <w:rsid w:val="00044346"/>
    <w:rsid w:val="00044C66"/>
    <w:rsid w:val="00047A8E"/>
    <w:rsid w:val="00051013"/>
    <w:rsid w:val="00061CCC"/>
    <w:rsid w:val="000637B1"/>
    <w:rsid w:val="00063DC8"/>
    <w:rsid w:val="000666EB"/>
    <w:rsid w:val="0006680B"/>
    <w:rsid w:val="0007145E"/>
    <w:rsid w:val="00082362"/>
    <w:rsid w:val="00090F95"/>
    <w:rsid w:val="000943C0"/>
    <w:rsid w:val="000A122E"/>
    <w:rsid w:val="000A1458"/>
    <w:rsid w:val="000A3360"/>
    <w:rsid w:val="000A5353"/>
    <w:rsid w:val="000A76A3"/>
    <w:rsid w:val="000A7F23"/>
    <w:rsid w:val="000B1AA9"/>
    <w:rsid w:val="000B328F"/>
    <w:rsid w:val="000B4AD2"/>
    <w:rsid w:val="000C44CD"/>
    <w:rsid w:val="000C6C04"/>
    <w:rsid w:val="000D3D72"/>
    <w:rsid w:val="000D446F"/>
    <w:rsid w:val="000D4CEF"/>
    <w:rsid w:val="000D7DCA"/>
    <w:rsid w:val="000D7FA3"/>
    <w:rsid w:val="000E07FA"/>
    <w:rsid w:val="000E2E78"/>
    <w:rsid w:val="000F06BA"/>
    <w:rsid w:val="000F7F8C"/>
    <w:rsid w:val="00103297"/>
    <w:rsid w:val="00106715"/>
    <w:rsid w:val="001104B8"/>
    <w:rsid w:val="00110DC3"/>
    <w:rsid w:val="001233BA"/>
    <w:rsid w:val="001240B0"/>
    <w:rsid w:val="00127F8F"/>
    <w:rsid w:val="00127FE9"/>
    <w:rsid w:val="001328DF"/>
    <w:rsid w:val="0014158C"/>
    <w:rsid w:val="0014314E"/>
    <w:rsid w:val="001472A2"/>
    <w:rsid w:val="0014777A"/>
    <w:rsid w:val="00153BE7"/>
    <w:rsid w:val="00156592"/>
    <w:rsid w:val="00161C1F"/>
    <w:rsid w:val="001624B0"/>
    <w:rsid w:val="00163FC0"/>
    <w:rsid w:val="0016535D"/>
    <w:rsid w:val="001657A7"/>
    <w:rsid w:val="0016675F"/>
    <w:rsid w:val="001670B8"/>
    <w:rsid w:val="00167788"/>
    <w:rsid w:val="001713CF"/>
    <w:rsid w:val="001729CF"/>
    <w:rsid w:val="00173D6D"/>
    <w:rsid w:val="00175193"/>
    <w:rsid w:val="001766A6"/>
    <w:rsid w:val="001801EE"/>
    <w:rsid w:val="00183591"/>
    <w:rsid w:val="00183CF1"/>
    <w:rsid w:val="00185A83"/>
    <w:rsid w:val="001866A5"/>
    <w:rsid w:val="00186992"/>
    <w:rsid w:val="00190CFD"/>
    <w:rsid w:val="0019214C"/>
    <w:rsid w:val="001937D7"/>
    <w:rsid w:val="00195240"/>
    <w:rsid w:val="00196F4A"/>
    <w:rsid w:val="001976A5"/>
    <w:rsid w:val="001A1FC1"/>
    <w:rsid w:val="001A3F27"/>
    <w:rsid w:val="001A46D2"/>
    <w:rsid w:val="001A4BA7"/>
    <w:rsid w:val="001B2949"/>
    <w:rsid w:val="001B2F76"/>
    <w:rsid w:val="001B357A"/>
    <w:rsid w:val="001B4172"/>
    <w:rsid w:val="001B6D9D"/>
    <w:rsid w:val="001B747A"/>
    <w:rsid w:val="001C2A1A"/>
    <w:rsid w:val="001C326E"/>
    <w:rsid w:val="001C32F8"/>
    <w:rsid w:val="001D0913"/>
    <w:rsid w:val="001D4CC3"/>
    <w:rsid w:val="001D5949"/>
    <w:rsid w:val="001D6422"/>
    <w:rsid w:val="001D7068"/>
    <w:rsid w:val="001E1A97"/>
    <w:rsid w:val="001E2151"/>
    <w:rsid w:val="001E4B28"/>
    <w:rsid w:val="001E5CB3"/>
    <w:rsid w:val="001F33D3"/>
    <w:rsid w:val="001F53BA"/>
    <w:rsid w:val="0020184A"/>
    <w:rsid w:val="0020382B"/>
    <w:rsid w:val="00206561"/>
    <w:rsid w:val="00207BA2"/>
    <w:rsid w:val="00210307"/>
    <w:rsid w:val="002110DB"/>
    <w:rsid w:val="00224127"/>
    <w:rsid w:val="00224408"/>
    <w:rsid w:val="00230580"/>
    <w:rsid w:val="00241A6F"/>
    <w:rsid w:val="00242B92"/>
    <w:rsid w:val="002434C7"/>
    <w:rsid w:val="002451C4"/>
    <w:rsid w:val="002478C8"/>
    <w:rsid w:val="0025062B"/>
    <w:rsid w:val="00254393"/>
    <w:rsid w:val="00255002"/>
    <w:rsid w:val="00263E25"/>
    <w:rsid w:val="0026794A"/>
    <w:rsid w:val="00267B28"/>
    <w:rsid w:val="002702A9"/>
    <w:rsid w:val="00272673"/>
    <w:rsid w:val="0028060F"/>
    <w:rsid w:val="002810E7"/>
    <w:rsid w:val="00284B54"/>
    <w:rsid w:val="0029204A"/>
    <w:rsid w:val="0029315B"/>
    <w:rsid w:val="00295050"/>
    <w:rsid w:val="00296731"/>
    <w:rsid w:val="002A264A"/>
    <w:rsid w:val="002A301E"/>
    <w:rsid w:val="002A39E9"/>
    <w:rsid w:val="002A4488"/>
    <w:rsid w:val="002A48A1"/>
    <w:rsid w:val="002A50B6"/>
    <w:rsid w:val="002A7662"/>
    <w:rsid w:val="002B05E7"/>
    <w:rsid w:val="002B21F0"/>
    <w:rsid w:val="002B58C1"/>
    <w:rsid w:val="002B5A13"/>
    <w:rsid w:val="002C33FD"/>
    <w:rsid w:val="002C4891"/>
    <w:rsid w:val="002C7437"/>
    <w:rsid w:val="002D1916"/>
    <w:rsid w:val="002D25FA"/>
    <w:rsid w:val="002D6091"/>
    <w:rsid w:val="002E3046"/>
    <w:rsid w:val="002E51A3"/>
    <w:rsid w:val="002E6C20"/>
    <w:rsid w:val="002F151A"/>
    <w:rsid w:val="002F51B4"/>
    <w:rsid w:val="002F592F"/>
    <w:rsid w:val="002F6A0D"/>
    <w:rsid w:val="00302388"/>
    <w:rsid w:val="00302DF2"/>
    <w:rsid w:val="003044BB"/>
    <w:rsid w:val="00304AF9"/>
    <w:rsid w:val="00306C2C"/>
    <w:rsid w:val="00311F35"/>
    <w:rsid w:val="0031307F"/>
    <w:rsid w:val="0031404E"/>
    <w:rsid w:val="00315FAD"/>
    <w:rsid w:val="003167D6"/>
    <w:rsid w:val="00321AD8"/>
    <w:rsid w:val="00324C3A"/>
    <w:rsid w:val="0032656C"/>
    <w:rsid w:val="00326EF8"/>
    <w:rsid w:val="003279D6"/>
    <w:rsid w:val="003324D1"/>
    <w:rsid w:val="00335891"/>
    <w:rsid w:val="00335FD9"/>
    <w:rsid w:val="00340B67"/>
    <w:rsid w:val="00343A30"/>
    <w:rsid w:val="00344167"/>
    <w:rsid w:val="00347FB0"/>
    <w:rsid w:val="00350C35"/>
    <w:rsid w:val="003516DC"/>
    <w:rsid w:val="00352A7E"/>
    <w:rsid w:val="00352D77"/>
    <w:rsid w:val="00354E66"/>
    <w:rsid w:val="0036331A"/>
    <w:rsid w:val="003645D3"/>
    <w:rsid w:val="00365258"/>
    <w:rsid w:val="00365A78"/>
    <w:rsid w:val="00371FED"/>
    <w:rsid w:val="003730D2"/>
    <w:rsid w:val="00374D27"/>
    <w:rsid w:val="00380EFC"/>
    <w:rsid w:val="0038147D"/>
    <w:rsid w:val="00386E44"/>
    <w:rsid w:val="00395087"/>
    <w:rsid w:val="00397387"/>
    <w:rsid w:val="003A07E5"/>
    <w:rsid w:val="003A1075"/>
    <w:rsid w:val="003A18D1"/>
    <w:rsid w:val="003A26D8"/>
    <w:rsid w:val="003A594A"/>
    <w:rsid w:val="003A5D76"/>
    <w:rsid w:val="003B164E"/>
    <w:rsid w:val="003B5AA8"/>
    <w:rsid w:val="003B6581"/>
    <w:rsid w:val="003B76B8"/>
    <w:rsid w:val="003C1D82"/>
    <w:rsid w:val="003C2590"/>
    <w:rsid w:val="003C644A"/>
    <w:rsid w:val="003D34E1"/>
    <w:rsid w:val="003E01BF"/>
    <w:rsid w:val="003E0696"/>
    <w:rsid w:val="003E2467"/>
    <w:rsid w:val="003E2634"/>
    <w:rsid w:val="003E3FF0"/>
    <w:rsid w:val="003E4190"/>
    <w:rsid w:val="003F0992"/>
    <w:rsid w:val="003F1830"/>
    <w:rsid w:val="003F2334"/>
    <w:rsid w:val="003F2CE6"/>
    <w:rsid w:val="003F3F04"/>
    <w:rsid w:val="003F4A1A"/>
    <w:rsid w:val="004005A3"/>
    <w:rsid w:val="00400E4E"/>
    <w:rsid w:val="00403374"/>
    <w:rsid w:val="004045E3"/>
    <w:rsid w:val="00404BA0"/>
    <w:rsid w:val="004074A5"/>
    <w:rsid w:val="00410BC6"/>
    <w:rsid w:val="0041172A"/>
    <w:rsid w:val="00416249"/>
    <w:rsid w:val="00420D33"/>
    <w:rsid w:val="00421A1A"/>
    <w:rsid w:val="00423987"/>
    <w:rsid w:val="004248EC"/>
    <w:rsid w:val="00425D4B"/>
    <w:rsid w:val="00426E82"/>
    <w:rsid w:val="00427240"/>
    <w:rsid w:val="00427DDA"/>
    <w:rsid w:val="004353EF"/>
    <w:rsid w:val="004365DA"/>
    <w:rsid w:val="0043753F"/>
    <w:rsid w:val="00441BC3"/>
    <w:rsid w:val="00441C42"/>
    <w:rsid w:val="004439DD"/>
    <w:rsid w:val="00443D42"/>
    <w:rsid w:val="00444681"/>
    <w:rsid w:val="004452F7"/>
    <w:rsid w:val="00445519"/>
    <w:rsid w:val="00447955"/>
    <w:rsid w:val="004520C0"/>
    <w:rsid w:val="004529AE"/>
    <w:rsid w:val="0045687F"/>
    <w:rsid w:val="00466EF1"/>
    <w:rsid w:val="00467685"/>
    <w:rsid w:val="00467F18"/>
    <w:rsid w:val="00471B3B"/>
    <w:rsid w:val="00474A43"/>
    <w:rsid w:val="00475CB5"/>
    <w:rsid w:val="0048213F"/>
    <w:rsid w:val="0048548B"/>
    <w:rsid w:val="004A0A93"/>
    <w:rsid w:val="004A1213"/>
    <w:rsid w:val="004A60F0"/>
    <w:rsid w:val="004B28AB"/>
    <w:rsid w:val="004C2BF1"/>
    <w:rsid w:val="004C3763"/>
    <w:rsid w:val="004C444A"/>
    <w:rsid w:val="004C4C52"/>
    <w:rsid w:val="004C64B2"/>
    <w:rsid w:val="004C7A25"/>
    <w:rsid w:val="004D1871"/>
    <w:rsid w:val="004E3C22"/>
    <w:rsid w:val="004E44A6"/>
    <w:rsid w:val="004F44BD"/>
    <w:rsid w:val="004F49EE"/>
    <w:rsid w:val="004F4B25"/>
    <w:rsid w:val="004F576D"/>
    <w:rsid w:val="004F5AEE"/>
    <w:rsid w:val="004F6370"/>
    <w:rsid w:val="0050350B"/>
    <w:rsid w:val="00504577"/>
    <w:rsid w:val="00504B60"/>
    <w:rsid w:val="005110D4"/>
    <w:rsid w:val="005162B4"/>
    <w:rsid w:val="00521204"/>
    <w:rsid w:val="005246D1"/>
    <w:rsid w:val="005320E8"/>
    <w:rsid w:val="00543083"/>
    <w:rsid w:val="00543E88"/>
    <w:rsid w:val="00546821"/>
    <w:rsid w:val="0055177A"/>
    <w:rsid w:val="00553D77"/>
    <w:rsid w:val="00560E79"/>
    <w:rsid w:val="005654D8"/>
    <w:rsid w:val="00567298"/>
    <w:rsid w:val="0057374D"/>
    <w:rsid w:val="00576319"/>
    <w:rsid w:val="005773C1"/>
    <w:rsid w:val="005805C0"/>
    <w:rsid w:val="00583B25"/>
    <w:rsid w:val="00585744"/>
    <w:rsid w:val="00585975"/>
    <w:rsid w:val="0059083B"/>
    <w:rsid w:val="0059250F"/>
    <w:rsid w:val="0059274C"/>
    <w:rsid w:val="00593713"/>
    <w:rsid w:val="0059455B"/>
    <w:rsid w:val="00594D2F"/>
    <w:rsid w:val="00595987"/>
    <w:rsid w:val="00597EFB"/>
    <w:rsid w:val="005A0080"/>
    <w:rsid w:val="005A190A"/>
    <w:rsid w:val="005A3FF6"/>
    <w:rsid w:val="005A6EEC"/>
    <w:rsid w:val="005A783D"/>
    <w:rsid w:val="005B1229"/>
    <w:rsid w:val="005B3302"/>
    <w:rsid w:val="005B3F02"/>
    <w:rsid w:val="005C3795"/>
    <w:rsid w:val="005C5896"/>
    <w:rsid w:val="005C6E43"/>
    <w:rsid w:val="005D003B"/>
    <w:rsid w:val="005D015C"/>
    <w:rsid w:val="005D06CC"/>
    <w:rsid w:val="005D223E"/>
    <w:rsid w:val="005D3ADE"/>
    <w:rsid w:val="005D50C8"/>
    <w:rsid w:val="005E1E6D"/>
    <w:rsid w:val="005E5482"/>
    <w:rsid w:val="005E5A03"/>
    <w:rsid w:val="005E68AE"/>
    <w:rsid w:val="005E72BE"/>
    <w:rsid w:val="005E7406"/>
    <w:rsid w:val="005F6A72"/>
    <w:rsid w:val="005F7527"/>
    <w:rsid w:val="00600776"/>
    <w:rsid w:val="00600842"/>
    <w:rsid w:val="0060283D"/>
    <w:rsid w:val="00611139"/>
    <w:rsid w:val="00614F7B"/>
    <w:rsid w:val="00614FF5"/>
    <w:rsid w:val="00623A69"/>
    <w:rsid w:val="0063577F"/>
    <w:rsid w:val="006358FC"/>
    <w:rsid w:val="006423F0"/>
    <w:rsid w:val="006500E6"/>
    <w:rsid w:val="00650C13"/>
    <w:rsid w:val="0065150E"/>
    <w:rsid w:val="00651F0A"/>
    <w:rsid w:val="00651FA2"/>
    <w:rsid w:val="00656BC9"/>
    <w:rsid w:val="00656D97"/>
    <w:rsid w:val="00660535"/>
    <w:rsid w:val="006613B7"/>
    <w:rsid w:val="00664F15"/>
    <w:rsid w:val="00666C1F"/>
    <w:rsid w:val="00667694"/>
    <w:rsid w:val="00673410"/>
    <w:rsid w:val="006742F2"/>
    <w:rsid w:val="006747F9"/>
    <w:rsid w:val="006748D2"/>
    <w:rsid w:val="00677A5E"/>
    <w:rsid w:val="00680ACB"/>
    <w:rsid w:val="00681AAE"/>
    <w:rsid w:val="00690CF3"/>
    <w:rsid w:val="00691FA1"/>
    <w:rsid w:val="00692194"/>
    <w:rsid w:val="006924C7"/>
    <w:rsid w:val="00692B4D"/>
    <w:rsid w:val="0069324B"/>
    <w:rsid w:val="006942B2"/>
    <w:rsid w:val="006945ED"/>
    <w:rsid w:val="00694693"/>
    <w:rsid w:val="00694FE9"/>
    <w:rsid w:val="00695580"/>
    <w:rsid w:val="0069572B"/>
    <w:rsid w:val="00697712"/>
    <w:rsid w:val="006A1B7E"/>
    <w:rsid w:val="006A2122"/>
    <w:rsid w:val="006A62B1"/>
    <w:rsid w:val="006B49E3"/>
    <w:rsid w:val="006B5629"/>
    <w:rsid w:val="006B6B9C"/>
    <w:rsid w:val="006B7B17"/>
    <w:rsid w:val="006C4829"/>
    <w:rsid w:val="006C59A7"/>
    <w:rsid w:val="006C7CAF"/>
    <w:rsid w:val="006C7EDD"/>
    <w:rsid w:val="006D02C4"/>
    <w:rsid w:val="006D2D7C"/>
    <w:rsid w:val="006D2E73"/>
    <w:rsid w:val="006D4090"/>
    <w:rsid w:val="006E0256"/>
    <w:rsid w:val="006E3F3A"/>
    <w:rsid w:val="006E61D3"/>
    <w:rsid w:val="006E70DE"/>
    <w:rsid w:val="006E7352"/>
    <w:rsid w:val="006F3A9F"/>
    <w:rsid w:val="00707827"/>
    <w:rsid w:val="00707BF5"/>
    <w:rsid w:val="007105F5"/>
    <w:rsid w:val="00713701"/>
    <w:rsid w:val="00715EAB"/>
    <w:rsid w:val="007161B4"/>
    <w:rsid w:val="00720080"/>
    <w:rsid w:val="00720738"/>
    <w:rsid w:val="00721234"/>
    <w:rsid w:val="00722422"/>
    <w:rsid w:val="007259D1"/>
    <w:rsid w:val="00726C09"/>
    <w:rsid w:val="00726DE5"/>
    <w:rsid w:val="00733431"/>
    <w:rsid w:val="00740D96"/>
    <w:rsid w:val="007421D3"/>
    <w:rsid w:val="00742591"/>
    <w:rsid w:val="00752CCA"/>
    <w:rsid w:val="00752E9B"/>
    <w:rsid w:val="00752FDC"/>
    <w:rsid w:val="007534FB"/>
    <w:rsid w:val="007557F1"/>
    <w:rsid w:val="00755806"/>
    <w:rsid w:val="0075728E"/>
    <w:rsid w:val="00757457"/>
    <w:rsid w:val="007601F3"/>
    <w:rsid w:val="00764089"/>
    <w:rsid w:val="007669E8"/>
    <w:rsid w:val="00766E06"/>
    <w:rsid w:val="00770FD9"/>
    <w:rsid w:val="00772C2E"/>
    <w:rsid w:val="007730D1"/>
    <w:rsid w:val="007737AF"/>
    <w:rsid w:val="00774AA2"/>
    <w:rsid w:val="007753AC"/>
    <w:rsid w:val="00780280"/>
    <w:rsid w:val="0078199B"/>
    <w:rsid w:val="00782104"/>
    <w:rsid w:val="00782270"/>
    <w:rsid w:val="00787A63"/>
    <w:rsid w:val="00790043"/>
    <w:rsid w:val="0079082B"/>
    <w:rsid w:val="007930F3"/>
    <w:rsid w:val="00794341"/>
    <w:rsid w:val="007965B1"/>
    <w:rsid w:val="00796F34"/>
    <w:rsid w:val="00797831"/>
    <w:rsid w:val="007A04B5"/>
    <w:rsid w:val="007A2C56"/>
    <w:rsid w:val="007A30DA"/>
    <w:rsid w:val="007A3C79"/>
    <w:rsid w:val="007A797F"/>
    <w:rsid w:val="007B317B"/>
    <w:rsid w:val="007B38EC"/>
    <w:rsid w:val="007C0FA1"/>
    <w:rsid w:val="007C15FE"/>
    <w:rsid w:val="007C1C53"/>
    <w:rsid w:val="007C3408"/>
    <w:rsid w:val="007C41B5"/>
    <w:rsid w:val="007D063A"/>
    <w:rsid w:val="007D45F8"/>
    <w:rsid w:val="007E07CD"/>
    <w:rsid w:val="007E24E5"/>
    <w:rsid w:val="007E301B"/>
    <w:rsid w:val="007E3B3F"/>
    <w:rsid w:val="007E3D1A"/>
    <w:rsid w:val="007F2226"/>
    <w:rsid w:val="007F4FFD"/>
    <w:rsid w:val="007F5C93"/>
    <w:rsid w:val="008008F0"/>
    <w:rsid w:val="0080525C"/>
    <w:rsid w:val="00807CFF"/>
    <w:rsid w:val="008108E4"/>
    <w:rsid w:val="008116B5"/>
    <w:rsid w:val="00811754"/>
    <w:rsid w:val="00812931"/>
    <w:rsid w:val="008140E9"/>
    <w:rsid w:val="00814F90"/>
    <w:rsid w:val="008153AD"/>
    <w:rsid w:val="00815673"/>
    <w:rsid w:val="00815D3E"/>
    <w:rsid w:val="00820D79"/>
    <w:rsid w:val="00822F61"/>
    <w:rsid w:val="00823C60"/>
    <w:rsid w:val="008250BF"/>
    <w:rsid w:val="008253FC"/>
    <w:rsid w:val="00827648"/>
    <w:rsid w:val="00827B74"/>
    <w:rsid w:val="00833973"/>
    <w:rsid w:val="00841069"/>
    <w:rsid w:val="008424D9"/>
    <w:rsid w:val="00842F32"/>
    <w:rsid w:val="00843643"/>
    <w:rsid w:val="008454F6"/>
    <w:rsid w:val="00851590"/>
    <w:rsid w:val="00851AD0"/>
    <w:rsid w:val="00855119"/>
    <w:rsid w:val="00855E79"/>
    <w:rsid w:val="00855EA5"/>
    <w:rsid w:val="008578D2"/>
    <w:rsid w:val="008623B6"/>
    <w:rsid w:val="00863A43"/>
    <w:rsid w:val="00865E75"/>
    <w:rsid w:val="008665D5"/>
    <w:rsid w:val="00866D6B"/>
    <w:rsid w:val="008735F8"/>
    <w:rsid w:val="0087633B"/>
    <w:rsid w:val="00881062"/>
    <w:rsid w:val="00881CBC"/>
    <w:rsid w:val="00883B87"/>
    <w:rsid w:val="00884284"/>
    <w:rsid w:val="008853F5"/>
    <w:rsid w:val="0089078B"/>
    <w:rsid w:val="008942BE"/>
    <w:rsid w:val="00895EE2"/>
    <w:rsid w:val="008973B4"/>
    <w:rsid w:val="008A2CFE"/>
    <w:rsid w:val="008A2FED"/>
    <w:rsid w:val="008A63C8"/>
    <w:rsid w:val="008B2476"/>
    <w:rsid w:val="008C09EA"/>
    <w:rsid w:val="008C0FB8"/>
    <w:rsid w:val="008C1F14"/>
    <w:rsid w:val="008C3468"/>
    <w:rsid w:val="008C55AE"/>
    <w:rsid w:val="008D1D24"/>
    <w:rsid w:val="008D5186"/>
    <w:rsid w:val="008D6644"/>
    <w:rsid w:val="008E12C9"/>
    <w:rsid w:val="008F3E13"/>
    <w:rsid w:val="00902AE5"/>
    <w:rsid w:val="00903622"/>
    <w:rsid w:val="00903CB9"/>
    <w:rsid w:val="009076E8"/>
    <w:rsid w:val="00907E7B"/>
    <w:rsid w:val="0091134C"/>
    <w:rsid w:val="00911465"/>
    <w:rsid w:val="0091292C"/>
    <w:rsid w:val="00921571"/>
    <w:rsid w:val="00921595"/>
    <w:rsid w:val="00921F7F"/>
    <w:rsid w:val="00923016"/>
    <w:rsid w:val="00923B8D"/>
    <w:rsid w:val="00925B38"/>
    <w:rsid w:val="0093181E"/>
    <w:rsid w:val="0093375C"/>
    <w:rsid w:val="0093430A"/>
    <w:rsid w:val="00934CD2"/>
    <w:rsid w:val="009428CA"/>
    <w:rsid w:val="00942BFB"/>
    <w:rsid w:val="00943675"/>
    <w:rsid w:val="00953445"/>
    <w:rsid w:val="009602CC"/>
    <w:rsid w:val="0096076A"/>
    <w:rsid w:val="00960EA5"/>
    <w:rsid w:val="00962EE2"/>
    <w:rsid w:val="00964BF0"/>
    <w:rsid w:val="00964F68"/>
    <w:rsid w:val="00970F49"/>
    <w:rsid w:val="0097175D"/>
    <w:rsid w:val="009760CC"/>
    <w:rsid w:val="00992852"/>
    <w:rsid w:val="00993030"/>
    <w:rsid w:val="009A13D7"/>
    <w:rsid w:val="009A1701"/>
    <w:rsid w:val="009A28FA"/>
    <w:rsid w:val="009A292A"/>
    <w:rsid w:val="009A5161"/>
    <w:rsid w:val="009A6561"/>
    <w:rsid w:val="009A7B31"/>
    <w:rsid w:val="009B1C73"/>
    <w:rsid w:val="009B5A5D"/>
    <w:rsid w:val="009C034F"/>
    <w:rsid w:val="009C1738"/>
    <w:rsid w:val="009C1EC0"/>
    <w:rsid w:val="009C3E2A"/>
    <w:rsid w:val="009C3FB2"/>
    <w:rsid w:val="009C6918"/>
    <w:rsid w:val="009C69F9"/>
    <w:rsid w:val="009C6A57"/>
    <w:rsid w:val="009C7C33"/>
    <w:rsid w:val="009D11A2"/>
    <w:rsid w:val="009D1EA8"/>
    <w:rsid w:val="009D3A45"/>
    <w:rsid w:val="009D790F"/>
    <w:rsid w:val="009E2247"/>
    <w:rsid w:val="009E2380"/>
    <w:rsid w:val="009E2D79"/>
    <w:rsid w:val="009E59D9"/>
    <w:rsid w:val="009F1BC1"/>
    <w:rsid w:val="009F4641"/>
    <w:rsid w:val="009F6D49"/>
    <w:rsid w:val="00A013BB"/>
    <w:rsid w:val="00A01E0B"/>
    <w:rsid w:val="00A02AE3"/>
    <w:rsid w:val="00A0364A"/>
    <w:rsid w:val="00A06D37"/>
    <w:rsid w:val="00A070B3"/>
    <w:rsid w:val="00A07AF7"/>
    <w:rsid w:val="00A10266"/>
    <w:rsid w:val="00A105FA"/>
    <w:rsid w:val="00A110F9"/>
    <w:rsid w:val="00A15C2E"/>
    <w:rsid w:val="00A17EC1"/>
    <w:rsid w:val="00A20A34"/>
    <w:rsid w:val="00A23786"/>
    <w:rsid w:val="00A25EA5"/>
    <w:rsid w:val="00A25ECA"/>
    <w:rsid w:val="00A30776"/>
    <w:rsid w:val="00A31A29"/>
    <w:rsid w:val="00A31E7B"/>
    <w:rsid w:val="00A329C7"/>
    <w:rsid w:val="00A33434"/>
    <w:rsid w:val="00A33F40"/>
    <w:rsid w:val="00A34607"/>
    <w:rsid w:val="00A35D6D"/>
    <w:rsid w:val="00A376F6"/>
    <w:rsid w:val="00A379F5"/>
    <w:rsid w:val="00A40060"/>
    <w:rsid w:val="00A41988"/>
    <w:rsid w:val="00A41999"/>
    <w:rsid w:val="00A438BD"/>
    <w:rsid w:val="00A443CA"/>
    <w:rsid w:val="00A5292A"/>
    <w:rsid w:val="00A60915"/>
    <w:rsid w:val="00A70D26"/>
    <w:rsid w:val="00A71687"/>
    <w:rsid w:val="00A734F8"/>
    <w:rsid w:val="00A74C82"/>
    <w:rsid w:val="00A77256"/>
    <w:rsid w:val="00A86615"/>
    <w:rsid w:val="00A87E9E"/>
    <w:rsid w:val="00A93827"/>
    <w:rsid w:val="00A9405C"/>
    <w:rsid w:val="00A942C1"/>
    <w:rsid w:val="00A97325"/>
    <w:rsid w:val="00AA07FC"/>
    <w:rsid w:val="00AA43BC"/>
    <w:rsid w:val="00AA6CC7"/>
    <w:rsid w:val="00AA7560"/>
    <w:rsid w:val="00AB4221"/>
    <w:rsid w:val="00AB45F2"/>
    <w:rsid w:val="00AC4957"/>
    <w:rsid w:val="00AC4B69"/>
    <w:rsid w:val="00AC590A"/>
    <w:rsid w:val="00AC5B6E"/>
    <w:rsid w:val="00AC7482"/>
    <w:rsid w:val="00AC77F0"/>
    <w:rsid w:val="00AC7A4D"/>
    <w:rsid w:val="00AE3CD8"/>
    <w:rsid w:val="00AE51A5"/>
    <w:rsid w:val="00AE70D4"/>
    <w:rsid w:val="00AF0081"/>
    <w:rsid w:val="00AF28F8"/>
    <w:rsid w:val="00AF2E3D"/>
    <w:rsid w:val="00AF3C84"/>
    <w:rsid w:val="00B00FF6"/>
    <w:rsid w:val="00B05617"/>
    <w:rsid w:val="00B060FA"/>
    <w:rsid w:val="00B079EA"/>
    <w:rsid w:val="00B11294"/>
    <w:rsid w:val="00B20C1F"/>
    <w:rsid w:val="00B21384"/>
    <w:rsid w:val="00B21545"/>
    <w:rsid w:val="00B25450"/>
    <w:rsid w:val="00B30884"/>
    <w:rsid w:val="00B30A5C"/>
    <w:rsid w:val="00B30B8E"/>
    <w:rsid w:val="00B325FE"/>
    <w:rsid w:val="00B33B05"/>
    <w:rsid w:val="00B40484"/>
    <w:rsid w:val="00B4055D"/>
    <w:rsid w:val="00B43792"/>
    <w:rsid w:val="00B44AD1"/>
    <w:rsid w:val="00B50916"/>
    <w:rsid w:val="00B52778"/>
    <w:rsid w:val="00B5373B"/>
    <w:rsid w:val="00B53FE6"/>
    <w:rsid w:val="00B57339"/>
    <w:rsid w:val="00B57A19"/>
    <w:rsid w:val="00B57CFC"/>
    <w:rsid w:val="00B60FEF"/>
    <w:rsid w:val="00B61873"/>
    <w:rsid w:val="00B623BD"/>
    <w:rsid w:val="00B6439E"/>
    <w:rsid w:val="00B67C25"/>
    <w:rsid w:val="00B72A17"/>
    <w:rsid w:val="00B81C29"/>
    <w:rsid w:val="00B8656A"/>
    <w:rsid w:val="00B87C25"/>
    <w:rsid w:val="00B940D0"/>
    <w:rsid w:val="00B944AA"/>
    <w:rsid w:val="00B9679C"/>
    <w:rsid w:val="00BA070B"/>
    <w:rsid w:val="00BA10ED"/>
    <w:rsid w:val="00BA2695"/>
    <w:rsid w:val="00BA27B8"/>
    <w:rsid w:val="00BA79B4"/>
    <w:rsid w:val="00BB1150"/>
    <w:rsid w:val="00BB56C2"/>
    <w:rsid w:val="00BB56E6"/>
    <w:rsid w:val="00BB571A"/>
    <w:rsid w:val="00BB630C"/>
    <w:rsid w:val="00BC1930"/>
    <w:rsid w:val="00BC63C9"/>
    <w:rsid w:val="00BC7561"/>
    <w:rsid w:val="00BC7D52"/>
    <w:rsid w:val="00BD027D"/>
    <w:rsid w:val="00BD315F"/>
    <w:rsid w:val="00BD6070"/>
    <w:rsid w:val="00BD6797"/>
    <w:rsid w:val="00BD6F48"/>
    <w:rsid w:val="00BE51E5"/>
    <w:rsid w:val="00BF0EEF"/>
    <w:rsid w:val="00BF28F6"/>
    <w:rsid w:val="00BF2C41"/>
    <w:rsid w:val="00BF38C3"/>
    <w:rsid w:val="00BF393B"/>
    <w:rsid w:val="00C01AF8"/>
    <w:rsid w:val="00C07557"/>
    <w:rsid w:val="00C1011D"/>
    <w:rsid w:val="00C109D6"/>
    <w:rsid w:val="00C11EAA"/>
    <w:rsid w:val="00C13796"/>
    <w:rsid w:val="00C16829"/>
    <w:rsid w:val="00C16CDF"/>
    <w:rsid w:val="00C2075D"/>
    <w:rsid w:val="00C23937"/>
    <w:rsid w:val="00C25FF1"/>
    <w:rsid w:val="00C33CF2"/>
    <w:rsid w:val="00C3711E"/>
    <w:rsid w:val="00C40376"/>
    <w:rsid w:val="00C419A0"/>
    <w:rsid w:val="00C4422B"/>
    <w:rsid w:val="00C47672"/>
    <w:rsid w:val="00C47A69"/>
    <w:rsid w:val="00C50B64"/>
    <w:rsid w:val="00C5412A"/>
    <w:rsid w:val="00C545B8"/>
    <w:rsid w:val="00C61768"/>
    <w:rsid w:val="00C673DF"/>
    <w:rsid w:val="00C71B5E"/>
    <w:rsid w:val="00C7288D"/>
    <w:rsid w:val="00C72C42"/>
    <w:rsid w:val="00C84FC8"/>
    <w:rsid w:val="00C87375"/>
    <w:rsid w:val="00C97152"/>
    <w:rsid w:val="00C97ABA"/>
    <w:rsid w:val="00C97CC6"/>
    <w:rsid w:val="00CA66AE"/>
    <w:rsid w:val="00CA7FCA"/>
    <w:rsid w:val="00CB2668"/>
    <w:rsid w:val="00CB33F8"/>
    <w:rsid w:val="00CC5A73"/>
    <w:rsid w:val="00CC67B3"/>
    <w:rsid w:val="00CD2DD7"/>
    <w:rsid w:val="00CD63FA"/>
    <w:rsid w:val="00CD6C22"/>
    <w:rsid w:val="00CD7F10"/>
    <w:rsid w:val="00CE42C1"/>
    <w:rsid w:val="00CE5D6F"/>
    <w:rsid w:val="00CE62C0"/>
    <w:rsid w:val="00CF1132"/>
    <w:rsid w:val="00CF2625"/>
    <w:rsid w:val="00CF4B6F"/>
    <w:rsid w:val="00CF5B69"/>
    <w:rsid w:val="00D0459F"/>
    <w:rsid w:val="00D06ABD"/>
    <w:rsid w:val="00D10F4B"/>
    <w:rsid w:val="00D11982"/>
    <w:rsid w:val="00D2513C"/>
    <w:rsid w:val="00D266DD"/>
    <w:rsid w:val="00D30337"/>
    <w:rsid w:val="00D3099B"/>
    <w:rsid w:val="00D33E24"/>
    <w:rsid w:val="00D36AC7"/>
    <w:rsid w:val="00D54118"/>
    <w:rsid w:val="00D5728F"/>
    <w:rsid w:val="00D602F2"/>
    <w:rsid w:val="00D6193B"/>
    <w:rsid w:val="00D629C9"/>
    <w:rsid w:val="00D62A71"/>
    <w:rsid w:val="00D63B41"/>
    <w:rsid w:val="00D66572"/>
    <w:rsid w:val="00D70E6E"/>
    <w:rsid w:val="00D723D4"/>
    <w:rsid w:val="00D802A0"/>
    <w:rsid w:val="00D80FE8"/>
    <w:rsid w:val="00D83562"/>
    <w:rsid w:val="00D851BE"/>
    <w:rsid w:val="00D87DCF"/>
    <w:rsid w:val="00D91E28"/>
    <w:rsid w:val="00D95015"/>
    <w:rsid w:val="00D95EAE"/>
    <w:rsid w:val="00D9615A"/>
    <w:rsid w:val="00D96845"/>
    <w:rsid w:val="00DA27EA"/>
    <w:rsid w:val="00DA40B1"/>
    <w:rsid w:val="00DA6563"/>
    <w:rsid w:val="00DA6A61"/>
    <w:rsid w:val="00DB0F0A"/>
    <w:rsid w:val="00DC36D9"/>
    <w:rsid w:val="00DC45EA"/>
    <w:rsid w:val="00DC4D8F"/>
    <w:rsid w:val="00DC7BE6"/>
    <w:rsid w:val="00DD1301"/>
    <w:rsid w:val="00DD27A1"/>
    <w:rsid w:val="00DD2E2E"/>
    <w:rsid w:val="00DD3A71"/>
    <w:rsid w:val="00DD4476"/>
    <w:rsid w:val="00DE2F54"/>
    <w:rsid w:val="00DE36E8"/>
    <w:rsid w:val="00DE388F"/>
    <w:rsid w:val="00DE4903"/>
    <w:rsid w:val="00DE71E7"/>
    <w:rsid w:val="00DF185C"/>
    <w:rsid w:val="00DF433D"/>
    <w:rsid w:val="00DF47E7"/>
    <w:rsid w:val="00DF74E5"/>
    <w:rsid w:val="00E0002A"/>
    <w:rsid w:val="00E00A23"/>
    <w:rsid w:val="00E01CE0"/>
    <w:rsid w:val="00E053A2"/>
    <w:rsid w:val="00E0655A"/>
    <w:rsid w:val="00E10173"/>
    <w:rsid w:val="00E11623"/>
    <w:rsid w:val="00E122E7"/>
    <w:rsid w:val="00E141F1"/>
    <w:rsid w:val="00E15D52"/>
    <w:rsid w:val="00E169E0"/>
    <w:rsid w:val="00E17D61"/>
    <w:rsid w:val="00E204EA"/>
    <w:rsid w:val="00E235D7"/>
    <w:rsid w:val="00E24278"/>
    <w:rsid w:val="00E24350"/>
    <w:rsid w:val="00E2768A"/>
    <w:rsid w:val="00E27A22"/>
    <w:rsid w:val="00E305D7"/>
    <w:rsid w:val="00E31C89"/>
    <w:rsid w:val="00E35765"/>
    <w:rsid w:val="00E35BCE"/>
    <w:rsid w:val="00E40F5D"/>
    <w:rsid w:val="00E4771C"/>
    <w:rsid w:val="00E5360E"/>
    <w:rsid w:val="00E5798C"/>
    <w:rsid w:val="00E60D7A"/>
    <w:rsid w:val="00E60E2D"/>
    <w:rsid w:val="00E628D9"/>
    <w:rsid w:val="00E668F3"/>
    <w:rsid w:val="00E71994"/>
    <w:rsid w:val="00E71B4C"/>
    <w:rsid w:val="00E76DDD"/>
    <w:rsid w:val="00E77384"/>
    <w:rsid w:val="00E82DF9"/>
    <w:rsid w:val="00E90534"/>
    <w:rsid w:val="00E95F49"/>
    <w:rsid w:val="00E96102"/>
    <w:rsid w:val="00E97AAA"/>
    <w:rsid w:val="00EA1EC3"/>
    <w:rsid w:val="00EA2409"/>
    <w:rsid w:val="00EA2AE3"/>
    <w:rsid w:val="00EA3003"/>
    <w:rsid w:val="00EA395F"/>
    <w:rsid w:val="00EA5E69"/>
    <w:rsid w:val="00EB00E1"/>
    <w:rsid w:val="00EB371F"/>
    <w:rsid w:val="00EB4692"/>
    <w:rsid w:val="00EB6536"/>
    <w:rsid w:val="00EC1339"/>
    <w:rsid w:val="00EC1AD6"/>
    <w:rsid w:val="00EC507E"/>
    <w:rsid w:val="00EC6ECA"/>
    <w:rsid w:val="00EC76D9"/>
    <w:rsid w:val="00EC7BE1"/>
    <w:rsid w:val="00ED41D5"/>
    <w:rsid w:val="00ED646D"/>
    <w:rsid w:val="00ED6EC7"/>
    <w:rsid w:val="00EE708D"/>
    <w:rsid w:val="00EF0860"/>
    <w:rsid w:val="00EF25D4"/>
    <w:rsid w:val="00EF413A"/>
    <w:rsid w:val="00EF563E"/>
    <w:rsid w:val="00EF6217"/>
    <w:rsid w:val="00F0332F"/>
    <w:rsid w:val="00F04418"/>
    <w:rsid w:val="00F05E9B"/>
    <w:rsid w:val="00F1114F"/>
    <w:rsid w:val="00F14181"/>
    <w:rsid w:val="00F14FA3"/>
    <w:rsid w:val="00F17FA6"/>
    <w:rsid w:val="00F21074"/>
    <w:rsid w:val="00F213BE"/>
    <w:rsid w:val="00F21654"/>
    <w:rsid w:val="00F22FC5"/>
    <w:rsid w:val="00F24361"/>
    <w:rsid w:val="00F25F92"/>
    <w:rsid w:val="00F3317F"/>
    <w:rsid w:val="00F357D1"/>
    <w:rsid w:val="00F41D18"/>
    <w:rsid w:val="00F472F9"/>
    <w:rsid w:val="00F530B1"/>
    <w:rsid w:val="00F56CD1"/>
    <w:rsid w:val="00F61628"/>
    <w:rsid w:val="00F75D27"/>
    <w:rsid w:val="00F763A6"/>
    <w:rsid w:val="00F765EE"/>
    <w:rsid w:val="00F76821"/>
    <w:rsid w:val="00F76AFE"/>
    <w:rsid w:val="00F80DDC"/>
    <w:rsid w:val="00F8111D"/>
    <w:rsid w:val="00F90AD7"/>
    <w:rsid w:val="00F92EF4"/>
    <w:rsid w:val="00F93F60"/>
    <w:rsid w:val="00F9490E"/>
    <w:rsid w:val="00F96D90"/>
    <w:rsid w:val="00F96F5F"/>
    <w:rsid w:val="00FA1663"/>
    <w:rsid w:val="00FA2508"/>
    <w:rsid w:val="00FA3012"/>
    <w:rsid w:val="00FA3EAB"/>
    <w:rsid w:val="00FA569B"/>
    <w:rsid w:val="00FB3D2A"/>
    <w:rsid w:val="00FC1D5B"/>
    <w:rsid w:val="00FC3F7A"/>
    <w:rsid w:val="00FC624B"/>
    <w:rsid w:val="00FC635B"/>
    <w:rsid w:val="00FC6A8A"/>
    <w:rsid w:val="00FD037F"/>
    <w:rsid w:val="00FD0F58"/>
    <w:rsid w:val="00FD3928"/>
    <w:rsid w:val="00FD3F44"/>
    <w:rsid w:val="00FD4014"/>
    <w:rsid w:val="00FD46F7"/>
    <w:rsid w:val="00FE4A1A"/>
    <w:rsid w:val="00FE4EA1"/>
    <w:rsid w:val="00FE7432"/>
    <w:rsid w:val="00FF12A4"/>
    <w:rsid w:val="00FF2949"/>
    <w:rsid w:val="00FF2DC7"/>
    <w:rsid w:val="00FF2F95"/>
    <w:rsid w:val="5A51F4F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3BAA9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2F2"/>
    <w:rPr>
      <w:rFonts w:ascii="Arial" w:hAnsi="Arial"/>
    </w:rPr>
  </w:style>
  <w:style w:type="paragraph" w:styleId="Heading1">
    <w:name w:val="heading 1"/>
    <w:basedOn w:val="Normal"/>
    <w:next w:val="Normal"/>
    <w:link w:val="Heading1Char"/>
    <w:uiPriority w:val="9"/>
    <w:qFormat/>
    <w:rsid w:val="009E59D9"/>
    <w:pPr>
      <w:keepNext/>
      <w:keepLines/>
      <w:numPr>
        <w:numId w:val="2"/>
      </w:numPr>
      <w:spacing w:before="240" w:after="120"/>
      <w:ind w:left="709" w:hanging="709"/>
      <w:outlineLvl w:val="0"/>
    </w:pPr>
    <w:rPr>
      <w:rFonts w:eastAsiaTheme="majorEastAsia" w:cs="Arial"/>
      <w:color w:val="38322F"/>
      <w:sz w:val="40"/>
      <w:szCs w:val="40"/>
    </w:rPr>
  </w:style>
  <w:style w:type="paragraph" w:styleId="Heading2">
    <w:name w:val="heading 2"/>
    <w:basedOn w:val="Heading1"/>
    <w:next w:val="Normal"/>
    <w:link w:val="Heading2Char"/>
    <w:uiPriority w:val="9"/>
    <w:unhideWhenUsed/>
    <w:qFormat/>
    <w:rsid w:val="00A376F6"/>
    <w:pPr>
      <w:numPr>
        <w:ilvl w:val="1"/>
      </w:numPr>
      <w:ind w:left="709" w:hanging="709"/>
      <w:outlineLvl w:val="1"/>
    </w:pPr>
    <w:rPr>
      <w:b/>
      <w:bCs/>
      <w:color w:val="auto"/>
      <w:sz w:val="28"/>
      <w:szCs w:val="28"/>
    </w:rPr>
  </w:style>
  <w:style w:type="paragraph" w:styleId="Heading3">
    <w:name w:val="heading 3"/>
    <w:basedOn w:val="Heading2"/>
    <w:next w:val="Normal"/>
    <w:link w:val="Heading3Char"/>
    <w:uiPriority w:val="9"/>
    <w:unhideWhenUsed/>
    <w:qFormat/>
    <w:rsid w:val="00C2075D"/>
    <w:pPr>
      <w:numPr>
        <w:ilvl w:val="2"/>
      </w:numPr>
      <w:ind w:hanging="153"/>
      <w:outlineLvl w:val="2"/>
    </w:pPr>
    <w:rPr>
      <w:sz w:val="24"/>
      <w:szCs w:val="24"/>
    </w:rPr>
  </w:style>
  <w:style w:type="paragraph" w:styleId="Heading4">
    <w:name w:val="heading 4"/>
    <w:next w:val="Normal"/>
    <w:link w:val="Heading4Char"/>
    <w:uiPriority w:val="9"/>
    <w:unhideWhenUsed/>
    <w:qFormat/>
    <w:rsid w:val="008C0FB8"/>
    <w:pPr>
      <w:keepNext/>
      <w:keepLines/>
      <w:spacing w:before="240" w:after="120"/>
      <w:outlineLvl w:val="3"/>
    </w:pPr>
    <w:rPr>
      <w:rFonts w:ascii="Arial" w:eastAsiaTheme="majorEastAsia" w:hAnsi="Arial" w:cstheme="majorBidi"/>
      <w:b/>
      <w:iCs/>
      <w:sz w:val="28"/>
    </w:rPr>
  </w:style>
  <w:style w:type="paragraph" w:styleId="Heading5">
    <w:name w:val="heading 5"/>
    <w:basedOn w:val="Normal"/>
    <w:next w:val="Normal"/>
    <w:link w:val="Heading5Char"/>
    <w:uiPriority w:val="9"/>
    <w:unhideWhenUsed/>
    <w:rsid w:val="000A76A3"/>
    <w:pPr>
      <w:keepNext/>
      <w:keepLines/>
      <w:spacing w:before="240" w:line="288" w:lineRule="auto"/>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A5353"/>
    <w:pPr>
      <w:keepNext/>
      <w:keepLines/>
      <w:spacing w:before="40" w:after="0"/>
      <w:outlineLvl w:val="5"/>
    </w:pPr>
    <w:rPr>
      <w:rFonts w:asciiTheme="majorHAnsi" w:eastAsiaTheme="majorEastAsia" w:hAnsiTheme="majorHAnsi" w:cstheme="majorBidi"/>
      <w:color w:val="105456" w:themeColor="accent1" w:themeShade="7F"/>
    </w:rPr>
  </w:style>
  <w:style w:type="paragraph" w:styleId="Heading7">
    <w:name w:val="heading 7"/>
    <w:basedOn w:val="Normal"/>
    <w:next w:val="Normal"/>
    <w:link w:val="Heading7Char"/>
    <w:uiPriority w:val="9"/>
    <w:semiHidden/>
    <w:unhideWhenUsed/>
    <w:qFormat/>
    <w:rsid w:val="000A5353"/>
    <w:pPr>
      <w:keepNext/>
      <w:keepLines/>
      <w:spacing w:before="40" w:after="0"/>
      <w:outlineLvl w:val="6"/>
    </w:pPr>
    <w:rPr>
      <w:rFonts w:asciiTheme="majorHAnsi" w:eastAsiaTheme="majorEastAsia" w:hAnsiTheme="majorHAnsi" w:cstheme="majorBidi"/>
      <w:i/>
      <w:iCs/>
      <w:color w:val="105456" w:themeColor="accent1" w:themeShade="7F"/>
    </w:rPr>
  </w:style>
  <w:style w:type="paragraph" w:styleId="Heading8">
    <w:name w:val="heading 8"/>
    <w:basedOn w:val="Normal"/>
    <w:next w:val="Normal"/>
    <w:link w:val="Heading8Char"/>
    <w:uiPriority w:val="9"/>
    <w:semiHidden/>
    <w:unhideWhenUsed/>
    <w:qFormat/>
    <w:rsid w:val="000A5353"/>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A5353"/>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25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2590"/>
  </w:style>
  <w:style w:type="paragraph" w:styleId="Footer">
    <w:name w:val="footer"/>
    <w:basedOn w:val="Normal"/>
    <w:link w:val="FooterChar"/>
    <w:uiPriority w:val="99"/>
    <w:unhideWhenUsed/>
    <w:rsid w:val="003C25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2590"/>
  </w:style>
  <w:style w:type="paragraph" w:customStyle="1" w:styleId="Meetingminutesheader">
    <w:name w:val="Meeting minutes header"/>
    <w:basedOn w:val="Normal"/>
    <w:link w:val="MeetingminutesheaderChar"/>
    <w:qFormat/>
    <w:rsid w:val="003C2590"/>
    <w:pPr>
      <w:outlineLvl w:val="0"/>
    </w:pPr>
    <w:rPr>
      <w:rFonts w:cs="Arial"/>
      <w:color w:val="38322F"/>
      <w:sz w:val="40"/>
      <w:szCs w:val="40"/>
    </w:rPr>
  </w:style>
  <w:style w:type="character" w:customStyle="1" w:styleId="MeetingminutesheaderChar">
    <w:name w:val="Meeting minutes header Char"/>
    <w:basedOn w:val="DefaultParagraphFont"/>
    <w:link w:val="Meetingminutesheader"/>
    <w:rsid w:val="003C2590"/>
    <w:rPr>
      <w:rFonts w:ascii="Arial" w:hAnsi="Arial" w:cs="Arial"/>
      <w:color w:val="38322F"/>
      <w:sz w:val="40"/>
      <w:szCs w:val="40"/>
    </w:rPr>
  </w:style>
  <w:style w:type="table" w:styleId="TableGrid">
    <w:name w:val="Table Grid"/>
    <w:basedOn w:val="TableNormal"/>
    <w:uiPriority w:val="39"/>
    <w:rsid w:val="003C25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Normal"/>
    <w:link w:val="Heading21Char"/>
    <w:qFormat/>
    <w:rsid w:val="003C2590"/>
    <w:rPr>
      <w:rFonts w:cs="Arial"/>
      <w:b/>
      <w:szCs w:val="20"/>
    </w:rPr>
  </w:style>
  <w:style w:type="character" w:customStyle="1" w:styleId="Heading21Char">
    <w:name w:val="Heading 2.1 Char"/>
    <w:basedOn w:val="DefaultParagraphFont"/>
    <w:link w:val="Heading21"/>
    <w:rsid w:val="003C2590"/>
    <w:rPr>
      <w:rFonts w:ascii="Arial" w:hAnsi="Arial" w:cs="Arial"/>
      <w:b/>
      <w:szCs w:val="20"/>
    </w:rPr>
  </w:style>
  <w:style w:type="character" w:styleId="Hyperlink">
    <w:name w:val="Hyperlink"/>
    <w:basedOn w:val="DefaultParagraphFont"/>
    <w:uiPriority w:val="99"/>
    <w:unhideWhenUsed/>
    <w:rsid w:val="004005A3"/>
    <w:rPr>
      <w:color w:val="3F3F3F" w:themeColor="hyperlink"/>
      <w:u w:val="single"/>
    </w:rPr>
  </w:style>
  <w:style w:type="character" w:styleId="CommentReference">
    <w:name w:val="annotation reference"/>
    <w:basedOn w:val="DefaultParagraphFont"/>
    <w:uiPriority w:val="99"/>
    <w:semiHidden/>
    <w:unhideWhenUsed/>
    <w:rsid w:val="00667694"/>
    <w:rPr>
      <w:sz w:val="16"/>
      <w:szCs w:val="16"/>
    </w:rPr>
  </w:style>
  <w:style w:type="paragraph" w:styleId="CommentText">
    <w:name w:val="annotation text"/>
    <w:basedOn w:val="Normal"/>
    <w:link w:val="CommentTextChar"/>
    <w:uiPriority w:val="99"/>
    <w:unhideWhenUsed/>
    <w:rsid w:val="00667694"/>
    <w:pPr>
      <w:spacing w:line="240" w:lineRule="auto"/>
    </w:pPr>
    <w:rPr>
      <w:sz w:val="20"/>
      <w:szCs w:val="20"/>
    </w:rPr>
  </w:style>
  <w:style w:type="character" w:customStyle="1" w:styleId="CommentTextChar">
    <w:name w:val="Comment Text Char"/>
    <w:basedOn w:val="DefaultParagraphFont"/>
    <w:link w:val="CommentText"/>
    <w:uiPriority w:val="99"/>
    <w:rsid w:val="00667694"/>
    <w:rPr>
      <w:sz w:val="20"/>
      <w:szCs w:val="20"/>
    </w:rPr>
  </w:style>
  <w:style w:type="paragraph" w:styleId="CommentSubject">
    <w:name w:val="annotation subject"/>
    <w:basedOn w:val="CommentText"/>
    <w:next w:val="CommentText"/>
    <w:link w:val="CommentSubjectChar"/>
    <w:uiPriority w:val="99"/>
    <w:semiHidden/>
    <w:unhideWhenUsed/>
    <w:rsid w:val="00667694"/>
    <w:rPr>
      <w:b/>
      <w:bCs/>
    </w:rPr>
  </w:style>
  <w:style w:type="character" w:customStyle="1" w:styleId="CommentSubjectChar">
    <w:name w:val="Comment Subject Char"/>
    <w:basedOn w:val="CommentTextChar"/>
    <w:link w:val="CommentSubject"/>
    <w:uiPriority w:val="99"/>
    <w:semiHidden/>
    <w:rsid w:val="00667694"/>
    <w:rPr>
      <w:b/>
      <w:bCs/>
      <w:sz w:val="20"/>
      <w:szCs w:val="20"/>
    </w:rPr>
  </w:style>
  <w:style w:type="paragraph" w:customStyle="1" w:styleId="Tableheading">
    <w:name w:val="Table heading"/>
    <w:basedOn w:val="Normal"/>
    <w:qFormat/>
    <w:rsid w:val="001A3F27"/>
    <w:rPr>
      <w:rFonts w:cs="Arial"/>
      <w:b/>
      <w:color w:val="FFFFFF" w:themeColor="background1"/>
      <w:szCs w:val="20"/>
    </w:rPr>
  </w:style>
  <w:style w:type="paragraph" w:styleId="ListParagraph">
    <w:name w:val="List Paragraph"/>
    <w:basedOn w:val="Normal"/>
    <w:link w:val="ListParagraphChar"/>
    <w:uiPriority w:val="34"/>
    <w:qFormat/>
    <w:rsid w:val="006C7CAF"/>
    <w:pPr>
      <w:numPr>
        <w:numId w:val="3"/>
      </w:numPr>
      <w:tabs>
        <w:tab w:val="left" w:pos="-3060"/>
        <w:tab w:val="left" w:pos="-2340"/>
        <w:tab w:val="left" w:pos="6300"/>
      </w:tabs>
      <w:suppressAutoHyphens/>
      <w:spacing w:after="120" w:line="288" w:lineRule="auto"/>
      <w:contextualSpacing/>
      <w:jc w:val="both"/>
    </w:pPr>
  </w:style>
  <w:style w:type="paragraph" w:styleId="Revision">
    <w:name w:val="Revision"/>
    <w:hidden/>
    <w:uiPriority w:val="99"/>
    <w:semiHidden/>
    <w:rsid w:val="00923B8D"/>
    <w:pPr>
      <w:spacing w:after="0" w:line="240" w:lineRule="auto"/>
    </w:pPr>
  </w:style>
  <w:style w:type="paragraph" w:styleId="BodyText">
    <w:name w:val="Body Text"/>
    <w:basedOn w:val="Normal"/>
    <w:link w:val="BodyTextChar"/>
    <w:uiPriority w:val="1"/>
    <w:qFormat/>
    <w:rsid w:val="00BF28F6"/>
    <w:pPr>
      <w:widowControl w:val="0"/>
      <w:autoSpaceDE w:val="0"/>
      <w:autoSpaceDN w:val="0"/>
      <w:spacing w:before="120" w:after="0" w:line="240" w:lineRule="auto"/>
    </w:pPr>
    <w:rPr>
      <w:rFonts w:eastAsia="Arial" w:cs="Arial"/>
      <w:sz w:val="21"/>
      <w:szCs w:val="21"/>
      <w:lang w:val="en-US"/>
    </w:rPr>
  </w:style>
  <w:style w:type="character" w:customStyle="1" w:styleId="BodyTextChar">
    <w:name w:val="Body Text Char"/>
    <w:basedOn w:val="DefaultParagraphFont"/>
    <w:link w:val="BodyText"/>
    <w:uiPriority w:val="1"/>
    <w:rsid w:val="00BF28F6"/>
    <w:rPr>
      <w:rFonts w:ascii="Arial" w:eastAsia="Arial" w:hAnsi="Arial" w:cs="Arial"/>
      <w:sz w:val="21"/>
      <w:szCs w:val="21"/>
      <w:lang w:val="en-US"/>
    </w:rPr>
  </w:style>
  <w:style w:type="character" w:customStyle="1" w:styleId="Heading1Char">
    <w:name w:val="Heading 1 Char"/>
    <w:basedOn w:val="DefaultParagraphFont"/>
    <w:link w:val="Heading1"/>
    <w:uiPriority w:val="9"/>
    <w:rsid w:val="009E59D9"/>
    <w:rPr>
      <w:rFonts w:ascii="Arial" w:eastAsiaTheme="majorEastAsia" w:hAnsi="Arial" w:cs="Arial"/>
      <w:color w:val="38322F"/>
      <w:sz w:val="40"/>
      <w:szCs w:val="40"/>
    </w:rPr>
  </w:style>
  <w:style w:type="paragraph" w:styleId="TOCHeading">
    <w:name w:val="TOC Heading"/>
    <w:basedOn w:val="Heading1"/>
    <w:next w:val="Normal"/>
    <w:uiPriority w:val="39"/>
    <w:unhideWhenUsed/>
    <w:qFormat/>
    <w:rsid w:val="00365A78"/>
    <w:pPr>
      <w:numPr>
        <w:numId w:val="0"/>
      </w:numPr>
      <w:outlineLvl w:val="9"/>
    </w:pPr>
    <w:rPr>
      <w:sz w:val="32"/>
      <w:szCs w:val="32"/>
      <w:lang w:val="en-US"/>
    </w:rPr>
  </w:style>
  <w:style w:type="paragraph" w:styleId="TOC2">
    <w:name w:val="toc 2"/>
    <w:basedOn w:val="Normal"/>
    <w:next w:val="Normal"/>
    <w:autoRedefine/>
    <w:uiPriority w:val="39"/>
    <w:unhideWhenUsed/>
    <w:rsid w:val="00D66572"/>
    <w:pPr>
      <w:tabs>
        <w:tab w:val="left" w:pos="993"/>
        <w:tab w:val="right" w:leader="dot" w:pos="9628"/>
      </w:tabs>
      <w:spacing w:after="100"/>
      <w:ind w:left="426"/>
    </w:pPr>
    <w:rPr>
      <w:rFonts w:eastAsiaTheme="minorEastAsia" w:cs="Times New Roman"/>
      <w:lang w:val="en-US"/>
    </w:rPr>
  </w:style>
  <w:style w:type="paragraph" w:styleId="TOC1">
    <w:name w:val="toc 1"/>
    <w:basedOn w:val="Normal"/>
    <w:next w:val="Normal"/>
    <w:autoRedefine/>
    <w:uiPriority w:val="39"/>
    <w:unhideWhenUsed/>
    <w:rsid w:val="001670B8"/>
    <w:pPr>
      <w:tabs>
        <w:tab w:val="left" w:pos="426"/>
        <w:tab w:val="right" w:leader="dot" w:pos="9628"/>
      </w:tabs>
      <w:spacing w:after="100"/>
    </w:pPr>
    <w:rPr>
      <w:rFonts w:eastAsiaTheme="minorEastAsia" w:cs="Times New Roman"/>
      <w:lang w:val="en-US"/>
    </w:rPr>
  </w:style>
  <w:style w:type="paragraph" w:styleId="TOC3">
    <w:name w:val="toc 3"/>
    <w:basedOn w:val="Normal"/>
    <w:next w:val="Normal"/>
    <w:autoRedefine/>
    <w:uiPriority w:val="39"/>
    <w:unhideWhenUsed/>
    <w:rsid w:val="00D66572"/>
    <w:pPr>
      <w:tabs>
        <w:tab w:val="left" w:pos="993"/>
        <w:tab w:val="left" w:pos="1701"/>
        <w:tab w:val="right" w:leader="dot" w:pos="9628"/>
      </w:tabs>
      <w:spacing w:after="100"/>
      <w:ind w:left="993"/>
    </w:pPr>
    <w:rPr>
      <w:rFonts w:eastAsiaTheme="minorEastAsia" w:cs="Times New Roman"/>
      <w:lang w:val="en-US"/>
    </w:rPr>
  </w:style>
  <w:style w:type="paragraph" w:customStyle="1" w:styleId="TempateHeadingLevel2">
    <w:name w:val="Tempate Heading Level 2"/>
    <w:basedOn w:val="Heading21"/>
    <w:link w:val="TempateHeadingLevel2Char"/>
    <w:qFormat/>
    <w:rsid w:val="00365258"/>
    <w:pPr>
      <w:numPr>
        <w:numId w:val="1"/>
      </w:numPr>
    </w:pPr>
    <w:rPr>
      <w:color w:val="38322F"/>
      <w:sz w:val="28"/>
      <w:szCs w:val="28"/>
    </w:rPr>
  </w:style>
  <w:style w:type="character" w:customStyle="1" w:styleId="TempateHeadingLevel2Char">
    <w:name w:val="Tempate Heading Level 2 Char"/>
    <w:basedOn w:val="Heading21Char"/>
    <w:link w:val="TempateHeadingLevel2"/>
    <w:rsid w:val="00365258"/>
    <w:rPr>
      <w:rFonts w:ascii="Arial" w:hAnsi="Arial" w:cs="Arial"/>
      <w:b/>
      <w:color w:val="38322F"/>
      <w:sz w:val="28"/>
      <w:szCs w:val="28"/>
    </w:rPr>
  </w:style>
  <w:style w:type="paragraph" w:customStyle="1" w:styleId="TempateHeadingLevel1">
    <w:name w:val="Tempate Heading Level 1"/>
    <w:basedOn w:val="Meetingminutesheader"/>
    <w:link w:val="TempateHeadingLevel1Char"/>
    <w:qFormat/>
    <w:rsid w:val="00365258"/>
    <w:pPr>
      <w:jc w:val="center"/>
    </w:pPr>
  </w:style>
  <w:style w:type="character" w:customStyle="1" w:styleId="TempateHeadingLevel1Char">
    <w:name w:val="Tempate Heading Level 1 Char"/>
    <w:basedOn w:val="MeetingminutesheaderChar"/>
    <w:link w:val="TempateHeadingLevel1"/>
    <w:rsid w:val="00365258"/>
    <w:rPr>
      <w:rFonts w:ascii="Arial" w:hAnsi="Arial" w:cs="Arial"/>
      <w:color w:val="38322F"/>
      <w:sz w:val="40"/>
      <w:szCs w:val="40"/>
    </w:rPr>
  </w:style>
  <w:style w:type="character" w:customStyle="1" w:styleId="Heading2Char">
    <w:name w:val="Heading 2 Char"/>
    <w:basedOn w:val="DefaultParagraphFont"/>
    <w:link w:val="Heading2"/>
    <w:uiPriority w:val="9"/>
    <w:rsid w:val="00A376F6"/>
    <w:rPr>
      <w:rFonts w:ascii="Arial" w:eastAsiaTheme="majorEastAsia" w:hAnsi="Arial" w:cs="Arial"/>
      <w:b/>
      <w:bCs/>
      <w:sz w:val="28"/>
      <w:szCs w:val="28"/>
    </w:rPr>
  </w:style>
  <w:style w:type="character" w:customStyle="1" w:styleId="Heading3Char">
    <w:name w:val="Heading 3 Char"/>
    <w:basedOn w:val="DefaultParagraphFont"/>
    <w:link w:val="Heading3"/>
    <w:uiPriority w:val="9"/>
    <w:rsid w:val="00C2075D"/>
    <w:rPr>
      <w:rFonts w:ascii="Arial" w:eastAsiaTheme="majorEastAsia" w:hAnsi="Arial" w:cs="Arial"/>
      <w:b/>
      <w:bCs/>
      <w:sz w:val="24"/>
      <w:szCs w:val="24"/>
    </w:rPr>
  </w:style>
  <w:style w:type="character" w:customStyle="1" w:styleId="Heading5Char">
    <w:name w:val="Heading 5 Char"/>
    <w:basedOn w:val="DefaultParagraphFont"/>
    <w:link w:val="Heading5"/>
    <w:uiPriority w:val="9"/>
    <w:rsid w:val="000A76A3"/>
    <w:rPr>
      <w:rFonts w:ascii="Arial" w:eastAsiaTheme="majorEastAsia" w:hAnsi="Arial" w:cstheme="majorBidi"/>
      <w:b/>
    </w:rPr>
  </w:style>
  <w:style w:type="paragraph" w:customStyle="1" w:styleId="Introduction">
    <w:name w:val="Introduction"/>
    <w:basedOn w:val="Normal"/>
    <w:link w:val="IntroductionChar"/>
    <w:qFormat/>
    <w:rsid w:val="00047A8E"/>
    <w:pPr>
      <w:spacing w:after="120" w:line="288" w:lineRule="auto"/>
    </w:pPr>
    <w:rPr>
      <w:b/>
      <w:bCs/>
    </w:rPr>
  </w:style>
  <w:style w:type="character" w:customStyle="1" w:styleId="IntroductionChar">
    <w:name w:val="Introduction Char"/>
    <w:basedOn w:val="DefaultParagraphFont"/>
    <w:link w:val="Introduction"/>
    <w:rsid w:val="00047A8E"/>
    <w:rPr>
      <w:rFonts w:ascii="Arial" w:hAnsi="Arial"/>
      <w:b/>
      <w:bCs/>
    </w:rPr>
  </w:style>
  <w:style w:type="paragraph" w:styleId="ListBullet">
    <w:name w:val="List Bullet"/>
    <w:uiPriority w:val="99"/>
    <w:unhideWhenUsed/>
    <w:rsid w:val="00567298"/>
    <w:pPr>
      <w:spacing w:after="120" w:line="288" w:lineRule="auto"/>
      <w:contextualSpacing/>
    </w:pPr>
    <w:rPr>
      <w:rFonts w:ascii="Arial" w:hAnsi="Arial"/>
    </w:rPr>
  </w:style>
  <w:style w:type="character" w:customStyle="1" w:styleId="Heading4Char">
    <w:name w:val="Heading 4 Char"/>
    <w:basedOn w:val="DefaultParagraphFont"/>
    <w:link w:val="Heading4"/>
    <w:uiPriority w:val="9"/>
    <w:rsid w:val="008C0FB8"/>
    <w:rPr>
      <w:rFonts w:ascii="Arial" w:eastAsiaTheme="majorEastAsia" w:hAnsi="Arial" w:cstheme="majorBidi"/>
      <w:b/>
      <w:iCs/>
      <w:sz w:val="28"/>
    </w:rPr>
  </w:style>
  <w:style w:type="paragraph" w:customStyle="1" w:styleId="Tablebody">
    <w:name w:val="Table body"/>
    <w:basedOn w:val="Normal"/>
    <w:qFormat/>
    <w:rsid w:val="006500E6"/>
    <w:pPr>
      <w:spacing w:after="0" w:line="288" w:lineRule="auto"/>
    </w:pPr>
    <w:rPr>
      <w:bCs/>
    </w:rPr>
  </w:style>
  <w:style w:type="character" w:customStyle="1" w:styleId="Heading6Char">
    <w:name w:val="Heading 6 Char"/>
    <w:basedOn w:val="DefaultParagraphFont"/>
    <w:link w:val="Heading6"/>
    <w:uiPriority w:val="9"/>
    <w:semiHidden/>
    <w:rsid w:val="000A5353"/>
    <w:rPr>
      <w:rFonts w:asciiTheme="majorHAnsi" w:eastAsiaTheme="majorEastAsia" w:hAnsiTheme="majorHAnsi" w:cstheme="majorBidi"/>
      <w:color w:val="105456" w:themeColor="accent1" w:themeShade="7F"/>
    </w:rPr>
  </w:style>
  <w:style w:type="character" w:customStyle="1" w:styleId="Heading7Char">
    <w:name w:val="Heading 7 Char"/>
    <w:basedOn w:val="DefaultParagraphFont"/>
    <w:link w:val="Heading7"/>
    <w:uiPriority w:val="9"/>
    <w:semiHidden/>
    <w:rsid w:val="000A5353"/>
    <w:rPr>
      <w:rFonts w:asciiTheme="majorHAnsi" w:eastAsiaTheme="majorEastAsia" w:hAnsiTheme="majorHAnsi" w:cstheme="majorBidi"/>
      <w:i/>
      <w:iCs/>
      <w:color w:val="105456" w:themeColor="accent1" w:themeShade="7F"/>
    </w:rPr>
  </w:style>
  <w:style w:type="character" w:customStyle="1" w:styleId="Heading8Char">
    <w:name w:val="Heading 8 Char"/>
    <w:basedOn w:val="DefaultParagraphFont"/>
    <w:link w:val="Heading8"/>
    <w:uiPriority w:val="9"/>
    <w:semiHidden/>
    <w:rsid w:val="000A535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A5353"/>
    <w:rPr>
      <w:rFonts w:asciiTheme="majorHAnsi" w:eastAsiaTheme="majorEastAsia" w:hAnsiTheme="majorHAnsi" w:cstheme="majorBidi"/>
      <w:i/>
      <w:iCs/>
      <w:color w:val="272727" w:themeColor="text1" w:themeTint="D8"/>
      <w:sz w:val="21"/>
      <w:szCs w:val="21"/>
    </w:rPr>
  </w:style>
  <w:style w:type="character" w:customStyle="1" w:styleId="ListParagraphChar">
    <w:name w:val="List Paragraph Char"/>
    <w:basedOn w:val="DefaultParagraphFont"/>
    <w:link w:val="ListParagraph"/>
    <w:uiPriority w:val="34"/>
    <w:rsid w:val="006C7CAF"/>
    <w:rPr>
      <w:rFonts w:ascii="Arial" w:hAnsi="Arial"/>
    </w:rPr>
  </w:style>
  <w:style w:type="paragraph" w:styleId="FootnoteText">
    <w:name w:val="footnote text"/>
    <w:basedOn w:val="Normal"/>
    <w:link w:val="FootnoteTextChar"/>
    <w:uiPriority w:val="99"/>
    <w:semiHidden/>
    <w:unhideWhenUsed/>
    <w:rsid w:val="00471B3B"/>
    <w:pPr>
      <w:tabs>
        <w:tab w:val="left" w:pos="-3060"/>
        <w:tab w:val="left" w:pos="-2340"/>
        <w:tab w:val="left" w:pos="6300"/>
      </w:tabs>
      <w:suppressAutoHyphens/>
      <w:spacing w:after="0" w:line="288" w:lineRule="auto"/>
    </w:pPr>
    <w:rPr>
      <w:rFonts w:eastAsia="Times New Roman" w:cs="Arial"/>
      <w:color w:val="000000" w:themeColor="text1"/>
      <w:sz w:val="20"/>
      <w:szCs w:val="20"/>
      <w:lang w:eastAsia="en-AU"/>
    </w:rPr>
  </w:style>
  <w:style w:type="character" w:customStyle="1" w:styleId="FootnoteTextChar">
    <w:name w:val="Footnote Text Char"/>
    <w:basedOn w:val="DefaultParagraphFont"/>
    <w:link w:val="FootnoteText"/>
    <w:uiPriority w:val="99"/>
    <w:semiHidden/>
    <w:rsid w:val="00471B3B"/>
    <w:rPr>
      <w:rFonts w:ascii="Arial" w:eastAsia="Times New Roman" w:hAnsi="Arial" w:cs="Arial"/>
      <w:color w:val="000000" w:themeColor="text1"/>
      <w:sz w:val="20"/>
      <w:szCs w:val="20"/>
      <w:lang w:eastAsia="en-AU"/>
    </w:rPr>
  </w:style>
  <w:style w:type="character" w:styleId="FootnoteReference">
    <w:name w:val="footnote reference"/>
    <w:basedOn w:val="DefaultParagraphFont"/>
    <w:uiPriority w:val="99"/>
    <w:semiHidden/>
    <w:unhideWhenUsed/>
    <w:rsid w:val="00471B3B"/>
    <w:rPr>
      <w:vertAlign w:val="superscript"/>
    </w:rPr>
  </w:style>
  <w:style w:type="character" w:customStyle="1" w:styleId="aranob">
    <w:name w:val="aranob"/>
    <w:basedOn w:val="DefaultParagraphFont"/>
    <w:rsid w:val="00471B3B"/>
  </w:style>
  <w:style w:type="character" w:styleId="Emphasis">
    <w:name w:val="Emphasis"/>
    <w:basedOn w:val="DefaultParagraphFont"/>
    <w:uiPriority w:val="20"/>
    <w:qFormat/>
    <w:rsid w:val="00471B3B"/>
    <w:rPr>
      <w:i/>
      <w:iCs/>
    </w:rPr>
  </w:style>
  <w:style w:type="paragraph" w:customStyle="1" w:styleId="BULLETS">
    <w:name w:val="BULLETS"/>
    <w:basedOn w:val="Normal"/>
    <w:rsid w:val="001E5CB3"/>
    <w:pPr>
      <w:numPr>
        <w:numId w:val="6"/>
      </w:numPr>
      <w:tabs>
        <w:tab w:val="left" w:pos="-3060"/>
        <w:tab w:val="left" w:pos="-2340"/>
        <w:tab w:val="left" w:pos="6300"/>
      </w:tabs>
      <w:suppressAutoHyphens/>
      <w:spacing w:before="40" w:after="80" w:line="288" w:lineRule="auto"/>
    </w:pPr>
    <w:rPr>
      <w:rFonts w:eastAsia="Times New Roman" w:cs="Arial"/>
      <w:color w:val="000000" w:themeColor="text1"/>
      <w:lang w:eastAsia="en-AU"/>
    </w:rPr>
  </w:style>
  <w:style w:type="character" w:customStyle="1" w:styleId="normaltextrun">
    <w:name w:val="normaltextrun"/>
    <w:basedOn w:val="DefaultParagraphFont"/>
    <w:rsid w:val="004D1871"/>
  </w:style>
  <w:style w:type="character" w:customStyle="1" w:styleId="eop">
    <w:name w:val="eop"/>
    <w:basedOn w:val="DefaultParagraphFont"/>
    <w:rsid w:val="00D851BE"/>
  </w:style>
  <w:style w:type="character" w:styleId="FollowedHyperlink">
    <w:name w:val="FollowedHyperlink"/>
    <w:basedOn w:val="DefaultParagraphFont"/>
    <w:uiPriority w:val="99"/>
    <w:semiHidden/>
    <w:unhideWhenUsed/>
    <w:rsid w:val="00324C3A"/>
    <w:rPr>
      <w:color w:val="7F7F7F" w:themeColor="followedHyperlink"/>
      <w:u w:val="single"/>
    </w:rPr>
  </w:style>
  <w:style w:type="character" w:styleId="UnresolvedMention">
    <w:name w:val="Unresolved Mention"/>
    <w:basedOn w:val="DefaultParagraphFont"/>
    <w:uiPriority w:val="99"/>
    <w:semiHidden/>
    <w:unhideWhenUsed/>
    <w:rsid w:val="00A70D26"/>
    <w:rPr>
      <w:color w:val="605E5C"/>
      <w:shd w:val="clear" w:color="auto" w:fill="E1DFDD"/>
    </w:rPr>
  </w:style>
  <w:style w:type="paragraph" w:styleId="NoSpacing">
    <w:name w:val="No Spacing"/>
    <w:link w:val="NoSpacingChar"/>
    <w:uiPriority w:val="1"/>
    <w:qFormat/>
    <w:rsid w:val="005805C0"/>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5805C0"/>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574762">
      <w:bodyDiv w:val="1"/>
      <w:marLeft w:val="0"/>
      <w:marRight w:val="0"/>
      <w:marTop w:val="0"/>
      <w:marBottom w:val="0"/>
      <w:divBdr>
        <w:top w:val="none" w:sz="0" w:space="0" w:color="auto"/>
        <w:left w:val="none" w:sz="0" w:space="0" w:color="auto"/>
        <w:bottom w:val="none" w:sz="0" w:space="0" w:color="auto"/>
        <w:right w:val="none" w:sz="0" w:space="0" w:color="auto"/>
      </w:divBdr>
      <w:divsChild>
        <w:div w:id="580676229">
          <w:marLeft w:val="0"/>
          <w:marRight w:val="0"/>
          <w:marTop w:val="0"/>
          <w:marBottom w:val="0"/>
          <w:divBdr>
            <w:top w:val="none" w:sz="0" w:space="0" w:color="auto"/>
            <w:left w:val="none" w:sz="0" w:space="0" w:color="auto"/>
            <w:bottom w:val="none" w:sz="0" w:space="0" w:color="auto"/>
            <w:right w:val="none" w:sz="0" w:space="0" w:color="auto"/>
          </w:divBdr>
        </w:div>
      </w:divsChild>
    </w:div>
    <w:div w:id="1510872875">
      <w:bodyDiv w:val="1"/>
      <w:marLeft w:val="0"/>
      <w:marRight w:val="0"/>
      <w:marTop w:val="0"/>
      <w:marBottom w:val="0"/>
      <w:divBdr>
        <w:top w:val="none" w:sz="0" w:space="0" w:color="auto"/>
        <w:left w:val="none" w:sz="0" w:space="0" w:color="auto"/>
        <w:bottom w:val="none" w:sz="0" w:space="0" w:color="auto"/>
        <w:right w:val="none" w:sz="0" w:space="0" w:color="auto"/>
      </w:divBdr>
      <w:divsChild>
        <w:div w:id="14583369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policy@portphillip.vic.gov.au" TargetMode="Externa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mailto:communications@portphillip.vic.gov.au" TargetMode="External"/><Relationship Id="rId17" Type="http://schemas.openxmlformats.org/officeDocument/2006/relationships/hyperlink" Target="https://www.portphillip.vic.gov.au/about-the-council/divercity-enews-and-local-media"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portphillip.vic.gov.au/"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intranet-cms.portphillip.vic.gov.au/media/n5ljnno4/instrument-attestations.dotx"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ailto:portphillip.vic.gov.au/contact-us" TargetMode="External"/><Relationship Id="rId23"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3.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footer" Target="footer1.xml"/><Relationship Id="rId200" Type="http://schemas.openxmlformats.org/officeDocument/2006/relationships/image" Target="media/image10.jpg"/><Relationship Id="rId201" Type="http://schemas.openxmlformats.org/officeDocument/2006/relationships/hyperlink" Target="https://www.portphillip.vic.gov.au/contact-us/complaints-and-service-requests/" TargetMode="External"/><Relationship Id="rId202" Type="http://schemas.openxmlformats.org/officeDocument/2006/relationships/hyperlink" Target="mailto:governance@portphillip.vic.gov.au" TargetMode="External"/><Relationship Id="rId203" Type="http://schemas.openxmlformats.org/officeDocument/2006/relationships/hyperlink" Target="mailto:helpdeskcouncilreq@portphillip.vic.gov.au" TargetMode="External"/><Relationship Id="rId204" Type="http://schemas.openxmlformats.org/officeDocument/2006/relationships/hyperlink" Target="mailto:governance@portphillip.vic.gov.au" TargetMode="External"/><Relationship Id="rId205" Type="http://schemas.openxmlformats.org/officeDocument/2006/relationships/hyperlink" Target="mailto:mediaenquiries@portphillip.vic.gov.au"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Custom 6">
      <a:dk1>
        <a:sysClr val="windowText" lastClr="000000"/>
      </a:dk1>
      <a:lt1>
        <a:sysClr val="window" lastClr="FFFFFF"/>
      </a:lt1>
      <a:dk2>
        <a:srgbClr val="44546A"/>
      </a:dk2>
      <a:lt2>
        <a:srgbClr val="E7E6E6"/>
      </a:lt2>
      <a:accent1>
        <a:srgbClr val="20ABAD"/>
      </a:accent1>
      <a:accent2>
        <a:srgbClr val="007184"/>
      </a:accent2>
      <a:accent3>
        <a:srgbClr val="003F43"/>
      </a:accent3>
      <a:accent4>
        <a:srgbClr val="978E86"/>
      </a:accent4>
      <a:accent5>
        <a:srgbClr val="CCC2C0"/>
      </a:accent5>
      <a:accent6>
        <a:srgbClr val="38322F"/>
      </a:accent6>
      <a:hlink>
        <a:srgbClr val="3F3F3F"/>
      </a:hlink>
      <a:folHlink>
        <a:srgbClr val="7F7F7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57faed5-c7d0-4ee1-918f-e84072c2c7ae" xsi:nil="true"/>
    <lcf76f155ced4ddcb4097134ff3c332f xmlns="37d403fc-065a-48c9-8f19-7eb00a82012a">
      <Terms xmlns="http://schemas.microsoft.com/office/infopath/2007/PartnerControls"/>
    </lcf76f155ced4ddcb4097134ff3c332f>
    <SharedWithUsers xmlns="a57faed5-c7d0-4ee1-918f-e84072c2c7ae">
      <UserInfo>
        <DisplayName/>
        <AccountId xsi:nil="true"/>
        <AccountType/>
      </UserInfo>
    </SharedWithUsers>
    <ECMnumber xmlns="37d403fc-065a-48c9-8f19-7eb00a82012a" xsi:nil="true"/>
    <CEOadvised xmlns="37d403fc-065a-48c9-8f19-7eb00a82012a" xsi:nil="true"/>
    <OnCoIRegister xmlns="37d403fc-065a-48c9-8f19-7eb00a82012a" xsi:nil="true"/>
    <_Flow_SignoffStatus xmlns="37d403fc-065a-48c9-8f19-7eb00a82012a" xsi:nil="true"/>
    <DocumentID xmlns="37d403fc-065a-48c9-8f19-7eb00a82012a"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1BB6337E8378842991A8F708864F3D0" ma:contentTypeVersion="31" ma:contentTypeDescription="Create a new document." ma:contentTypeScope="" ma:versionID="f9a3e8355c7fd33e4ee2377b79bb635b">
  <xsd:schema xmlns:xsd="http://www.w3.org/2001/XMLSchema" xmlns:xs="http://www.w3.org/2001/XMLSchema" xmlns:p="http://schemas.microsoft.com/office/2006/metadata/properties" xmlns:ns2="37d403fc-065a-48c9-8f19-7eb00a82012a" xmlns:ns3="a57faed5-c7d0-4ee1-918f-e84072c2c7ae" targetNamespace="http://schemas.microsoft.com/office/2006/metadata/properties" ma:root="true" ma:fieldsID="f67eb42367cbb403b5591d5f79ddb476" ns2:_="" ns3:_="">
    <xsd:import namespace="37d403fc-065a-48c9-8f19-7eb00a82012a"/>
    <xsd:import namespace="a57faed5-c7d0-4ee1-918f-e84072c2c7a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element ref="ns2:ECMnumber" minOccurs="0"/>
                <xsd:element ref="ns2:OnCoIRegister" minOccurs="0"/>
                <xsd:element ref="ns2:CEOadvised" minOccurs="0"/>
                <xsd:element ref="ns2:DocumentID"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d403fc-065a-48c9-8f19-7eb00a8201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6d49f6f-2e1b-47e3-8cce-9f11107aca1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_Flow_SignoffStatus" ma:index="21" nillable="true" ma:displayName="Sign-off status" ma:description="ECM number" ma:format="Dropdown" ma:internalName="Sign_x002d_off_x0020_status">
      <xsd:simpleType>
        <xsd:restriction base="dms:Text">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ECMnumber" ma:index="24" nillable="true" ma:displayName="ECM number" ma:decimals="0" ma:description="Once saved into ECM number is to be record against CoI" ma:format="Dropdown" ma:internalName="ECMnumber" ma:percentage="FALSE">
      <xsd:simpleType>
        <xsd:restriction base="dms:Number"/>
      </xsd:simpleType>
    </xsd:element>
    <xsd:element name="OnCoIRegister" ma:index="25" nillable="true" ma:displayName="On CoI Register" ma:description="Has this CoI declaration been recorded on CoI register" ma:format="Dropdown" ma:internalName="OnCoIRegister">
      <xsd:simpleType>
        <xsd:restriction base="dms:Choice">
          <xsd:enumeration value="Yes"/>
          <xsd:enumeration value="No"/>
          <xsd:enumeration value="Not required"/>
        </xsd:restriction>
      </xsd:simpleType>
    </xsd:element>
    <xsd:element name="CEOadvised" ma:index="26" nillable="true" ma:displayName="CEO/Mayor advised" ma:description="Has the CEO been informed of CoI" ma:format="Dropdown" ma:internalName="CEOadvised">
      <xsd:simpleType>
        <xsd:restriction base="dms:Choice">
          <xsd:enumeration value="Yes"/>
          <xsd:enumeration value="No"/>
          <xsd:enumeration value="No record"/>
        </xsd:restriction>
      </xsd:simpleType>
    </xsd:element>
    <xsd:element name="DocumentID" ma:index="27" nillable="true" ma:displayName="Document ID" ma:format="Dropdown" ma:internalName="DocumentID" ma:percentage="FALSE">
      <xsd:simpleType>
        <xsd:restriction base="dms:Number"/>
      </xsd:simpleType>
    </xsd:element>
    <xsd:element name="MediaServiceLocation" ma:index="28"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7faed5-c7d0-4ee1-918f-e84072c2c7a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49fd469-6e32-4685-9108-569e2998c594}" ma:internalName="TaxCatchAll" ma:showField="CatchAllData" ma:web="a57faed5-c7d0-4ee1-918f-e84072c2c7a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7C6264-16A4-4BA5-84A5-B2E7A333A73B}">
  <ds:schemaRefs>
    <ds:schemaRef ds:uri="http://schemas.openxmlformats.org/officeDocument/2006/bibliography"/>
  </ds:schemaRefs>
</ds:datastoreItem>
</file>

<file path=customXml/itemProps2.xml><?xml version="1.0" encoding="utf-8"?>
<ds:datastoreItem xmlns:ds="http://schemas.openxmlformats.org/officeDocument/2006/customXml" ds:itemID="{F97C1D20-0468-4C5D-B52E-3951258C4627}">
  <ds:schemaRefs>
    <ds:schemaRef ds:uri="http://schemas.microsoft.com/sharepoint/v3/contenttype/forms"/>
  </ds:schemaRefs>
</ds:datastoreItem>
</file>

<file path=customXml/itemProps3.xml><?xml version="1.0" encoding="utf-8"?>
<ds:datastoreItem xmlns:ds="http://schemas.openxmlformats.org/officeDocument/2006/customXml" ds:itemID="{B2F9CEAC-C505-4403-8A8B-D1CE49CA395E}">
  <ds:schemaRefs>
    <ds:schemaRef ds:uri="http://schemas.microsoft.com/office/2006/metadata/properties"/>
    <ds:schemaRef ds:uri="http://schemas.microsoft.com/office/infopath/2007/PartnerControls"/>
    <ds:schemaRef ds:uri="a57faed5-c7d0-4ee1-918f-e84072c2c7ae"/>
    <ds:schemaRef ds:uri="37d403fc-065a-48c9-8f19-7eb00a82012a"/>
  </ds:schemaRefs>
</ds:datastoreItem>
</file>

<file path=customXml/itemProps4.xml><?xml version="1.0" encoding="utf-8"?>
<ds:datastoreItem xmlns:ds="http://schemas.openxmlformats.org/officeDocument/2006/customXml" ds:itemID="{79596CA6-D14E-4D51-9C07-8982BEC7D7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d403fc-065a-48c9-8f19-7eb00a82012a"/>
    <ds:schemaRef ds:uri="a57faed5-c7d0-4ee1-918f-e84072c2c7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2778</Words>
  <Characters>15838</Characters>
  <Application>Microsoft Office Word</Application>
  <DocSecurity>0</DocSecurity>
  <Lines>131</Lines>
  <Paragraphs>37</Paragraphs>
  <ScaleCrop>false</ScaleCrop>
  <Company>City of Port Phillip</Company>
  <LinksUpToDate>false</LinksUpToDate>
  <CharactersWithSpaces>18579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Councillor Interaction and Request Protocol</dc:title>
  <dc:subject/>
  <dc:creator>CoPP</dc:creator>
  <cp:keywords/>
  <dc:description/>
  <cp:lastModifiedBy>Ben Nelson</cp:lastModifiedBy>
  <cp:revision>2</cp:revision>
  <cp:lastPrinted>2026-06-01T00:10:00Z</cp:lastPrinted>
  <dcterms:created xsi:type="dcterms:W3CDTF">2026-06-25T04:07:00Z</dcterms:created>
  <dcterms:modified xsi:type="dcterms:W3CDTF">2026-06-25T04:07:00Z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0x01010061BB6337E8378842991A8F708864F3D0</vt:lpwstr>
  </property>
  <property fmtid="{D5CDD505-2E9C-101B-9397-08002B2CF9AE}" pid="4" name="docLang">
    <vt:lpwstr>en</vt:lpwstr>
  </property>
  <property fmtid="{D5CDD505-2E9C-101B-9397-08002B2CF9AE}" pid="5" name="Order">
    <vt:r8>5236400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