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7164421"/>
        <w:docPartObj>
          <w:docPartGallery w:val="Cover Pages"/>
          <w:docPartUnique/>
        </w:docPartObj>
      </w:sdtPr>
      <w:sdtEndPr>
        <w:rPr>
          <w:rFonts w:cs="Arial"/>
          <w:b/>
          <w:bCs/>
          <w:color w:val="8C4C00"/>
          <w:sz w:val="32"/>
          <w:szCs w:val="32"/>
        </w:rPr>
      </w:sdtEndPr>
      <w:sdtContent>
        <w:p w14:paraId="4E042A5C" w14:textId="77777777" w:rsidR="005E4170" w:rsidRDefault="005E4170"/>
        <w:p w14:paraId="10D9DD06" w14:textId="77777777" w:rsidR="008E256B" w:rsidRPr="005843C5" w:rsidRDefault="00313291" w:rsidP="008E256B">
          <w:pPr>
            <w:rPr>
              <w:rFonts w:cs="Arial"/>
              <w:b/>
              <w:bCs/>
              <w:color w:val="8C4C00"/>
              <w:sz w:val="32"/>
              <w:szCs w:val="32"/>
            </w:rPr>
          </w:pPr>
          <w:r>
            <w:rPr>
              <w:noProof/>
            </w:rPr>
            <mc:AlternateContent>
              <mc:Choice Requires="wps">
                <w:drawing>
                  <wp:anchor distT="45720" distB="45720" distL="114300" distR="114300" simplePos="0" relativeHeight="251659264" behindDoc="0" locked="0" layoutInCell="1" allowOverlap="1" wp14:anchorId="60E7808E" wp14:editId="4FC10B36">
                    <wp:simplePos x="0" y="0"/>
                    <wp:positionH relativeFrom="column">
                      <wp:posOffset>0</wp:posOffset>
                    </wp:positionH>
                    <wp:positionV relativeFrom="paragraph">
                      <wp:posOffset>1957705</wp:posOffset>
                    </wp:positionV>
                    <wp:extent cx="5645785" cy="3529965"/>
                    <wp:effectExtent l="0" t="0" r="1206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3529965"/>
                            </a:xfrm>
                            <a:prstGeom prst="rect">
                              <a:avLst/>
                            </a:prstGeom>
                            <a:noFill/>
                            <a:ln w="9525">
                              <a:noFill/>
                              <a:miter lim="800000"/>
                              <a:headEnd/>
                              <a:tailEnd/>
                            </a:ln>
                          </wps:spPr>
                          <wps:txbx>
                            <w:txbxContent>
                              <w:p w14:paraId="5F1F1F78" w14:textId="77777777" w:rsidR="007A3515" w:rsidRPr="00B96557" w:rsidRDefault="007A3515" w:rsidP="007A3515">
                                <w:pPr>
                                  <w:rPr>
                                    <w:color w:val="FFFFFF" w:themeColor="background1"/>
                                    <w:sz w:val="96"/>
                                    <w:szCs w:val="96"/>
                                  </w:rPr>
                                </w:pPr>
                                <w:r>
                                  <w:rPr>
                                    <w:color w:val="FFFFFF" w:themeColor="background1"/>
                                    <w:sz w:val="72"/>
                                    <w:szCs w:val="72"/>
                                  </w:rPr>
                                  <w:t>Reporting Fraud and Corruption – Confidential Internal Management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1.0</w:t>
                                </w:r>
                              </w:p>
                              <w:p w14:paraId="53FEE376" w14:textId="77777777" w:rsidR="00313291" w:rsidRDefault="00313291"/>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7808E" id="_x0000_t202" coordsize="21600,21600" o:spt="202" path="m,l,21600r21600,l21600,xe">
                    <v:stroke joinstyle="miter"/>
                    <v:path gradientshapeok="t" o:connecttype="rect"/>
                  </v:shapetype>
                  <v:shape id="Text Box 2" o:spid="_x0000_s1026" type="#_x0000_t202" style="position:absolute;margin-left:0;margin-top:154.15pt;width:444.55pt;height:27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" filled="f" stroked="f">
                    <v:textbox inset="0,0,0,0">
                      <w:txbxContent>
                        <w:p w14:paraId="5F1F1F78" w14:textId="77777777" w:rsidR="007A3515" w:rsidRPr="00B96557" w:rsidRDefault="007A3515" w:rsidP="007A3515">
                          <w:pPr>
                            <w:rPr>
                              <w:color w:val="FFFFFF" w:themeColor="background1"/>
                              <w:sz w:val="96"/>
                              <w:szCs w:val="96"/>
                            </w:rPr>
                          </w:pPr>
                          <w:r>
                            <w:rPr>
                              <w:color w:val="FFFFFF" w:themeColor="background1"/>
                              <w:sz w:val="72"/>
                              <w:szCs w:val="72"/>
                            </w:rPr>
                            <w:t>Reporting Fraud and Corruption – Confidential Internal Management Guidelines</w:t>
                          </w:r>
                        </w:p>
                        <w:p w14:paraId="48071D61" w14:textId="77777777" w:rsidR="007A3515" w:rsidRPr="00B96557" w:rsidRDefault="007A3515" w:rsidP="007A3515">
                          <w:pPr>
                            <w:rPr>
                              <w:color w:val="FFFFFF" w:themeColor="background1"/>
                              <w:sz w:val="52"/>
                              <w:szCs w:val="52"/>
                            </w:rPr>
                          </w:pPr>
                          <w:r>
                            <w:rPr>
                              <w:color w:val="FFFFFF" w:themeColor="background1"/>
                              <w:sz w:val="52"/>
                              <w:szCs w:val="52"/>
                            </w:rPr>
                            <w:t>Version 1.0</w:t>
                          </w:r>
                        </w:p>
                        <w:p w14:paraId="53FEE376" w14:textId="77777777" w:rsidR="00313291" w:rsidRDefault="00313291"/>
                      </w:txbxContent>
                    </v:textbox>
                    <w10:wrap type="square"/>
                  </v:shape>
                </w:pict>
              </mc:Fallback>
            </mc:AlternateContent>
          </w:r>
          <w:r>
            <w:rPr>
              <w:rFonts w:cs="Arial"/>
              <w:b/>
              <w:bCs/>
              <w:color w:val="8C4C00"/>
              <w:sz w:val="32"/>
              <w:szCs w:val="32"/>
            </w:rPr>
            <w:br w:type="page"/>
          </w:r>
        </w:p>
      </w:sdtContent>
    </w:sdt>
    <w:p w14:paraId="26C769E9" w14:textId="77777777" w:rsidR="008E256B" w:rsidRDefault="008E256B" w:rsidP="008E256B">
      <w:pPr>
        <w:pStyle w:val="Heading4"/>
      </w:pPr>
      <w:r>
        <w:rPr>
          <w:noProof/>
        </w:rPr>
        <w:drawing>
          <wp:inline distT="0" distB="0" distL="0" distR="0" wp14:anchorId="53D83D78" wp14:editId="29BB0E9E">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4B36C97D" w14:textId="77777777" w:rsidR="008E256B" w:rsidRPr="00BD0F6D" w:rsidRDefault="008E256B" w:rsidP="008E256B">
      <w:pPr>
        <w:pStyle w:val="Heading4"/>
      </w:pPr>
      <w:r>
        <w:t>City of Port Phillip</w:t>
      </w:r>
    </w:p>
    <w:p w14:paraId="0FDCA2F2" w14:textId="77777777" w:rsidR="008E256B" w:rsidRDefault="008E256B" w:rsidP="008E256B">
      <w:pPr>
        <w:spacing w:after="0"/>
      </w:pPr>
      <w:r>
        <w:t>99a Carlisle Street</w:t>
      </w:r>
    </w:p>
    <w:p w14:paraId="1E63CBEC" w14:textId="77777777" w:rsidR="008E256B" w:rsidRPr="000865EB" w:rsidRDefault="008E256B" w:rsidP="008E256B">
      <w:r>
        <w:t>St Kilda VIC 3182</w:t>
      </w:r>
      <w:r>
        <w:tab/>
      </w:r>
      <w:r>
        <w:tab/>
      </w:r>
    </w:p>
    <w:p w14:paraId="7592E470" w14:textId="77777777" w:rsidR="008E256B" w:rsidRDefault="008E256B" w:rsidP="008E256B">
      <w:pPr>
        <w:spacing w:after="0"/>
      </w:pPr>
      <w:r>
        <w:t>Phone:</w:t>
      </w:r>
      <w:r>
        <w:rPr>
          <w:rFonts w:ascii="Poppins SemiBold" w:hAnsi="Poppins SemiBold" w:cs="Poppins SemiBold"/>
        </w:rPr>
        <w:t xml:space="preserve"> ASSIST</w:t>
      </w:r>
      <w:r>
        <w:t xml:space="preserve"> 03 9209 6777</w:t>
      </w:r>
    </w:p>
    <w:p w14:paraId="1F529660" w14:textId="77777777" w:rsidR="008E256B" w:rsidRDefault="008E256B" w:rsidP="008E256B">
      <w:pPr>
        <w:spacing w:after="0"/>
      </w:pPr>
      <w:r>
        <w:t xml:space="preserve">Email: </w:t>
      </w:r>
      <w:hyperlink r:id="rId15" w:history="1">
        <w:r>
          <w:rPr>
            <w:rStyle w:val="Hyperlink"/>
          </w:rPr>
          <w:t>portphillip.vic.gov.au/contact-us</w:t>
        </w:r>
      </w:hyperlink>
    </w:p>
    <w:p w14:paraId="3E5F93C0" w14:textId="77777777" w:rsidR="008E256B" w:rsidRDefault="008E256B" w:rsidP="008E256B">
      <w:pPr>
        <w:spacing w:after="120"/>
      </w:pPr>
      <w:r>
        <w:t xml:space="preserve">Website: </w:t>
      </w:r>
      <w:hyperlink r:id="rId16" w:history="1">
        <w:r>
          <w:rPr>
            <w:rStyle w:val="Hyperlink"/>
          </w:rPr>
          <w:t>portphillip.vic.gov.au</w:t>
        </w:r>
      </w:hyperlink>
    </w:p>
    <w:p w14:paraId="73B41366" w14:textId="77777777" w:rsidR="008E256B" w:rsidRDefault="008E256B" w:rsidP="008E256B">
      <w:pPr>
        <w:pStyle w:val="Heading5"/>
      </w:pPr>
    </w:p>
    <w:p w14:paraId="5E592A69" w14:textId="77777777" w:rsidR="008E256B" w:rsidRDefault="008E256B" w:rsidP="008E256B">
      <w:pPr>
        <w:pStyle w:val="Heading5"/>
      </w:pPr>
      <w:r>
        <w:t>Divercity</w:t>
      </w:r>
    </w:p>
    <w:p w14:paraId="1DBCEFD0" w14:textId="77777777" w:rsidR="008E256B" w:rsidRDefault="008E256B" w:rsidP="008E256B">
      <w:pPr>
        <w:spacing w:after="120"/>
      </w:pPr>
      <w:r>
        <w:t xml:space="preserve">Receive the latest news from your City and Council </w:t>
      </w:r>
      <w:hyperlink r:id="rId17" w:tooltip="portphillip.vic.gov.au/divercity" w:history="1">
        <w:r>
          <w:rPr>
            <w:rStyle w:val="Hyperlink"/>
          </w:rPr>
          <w:t>portphillip.vic.gov.au/</w:t>
        </w:r>
        <w:proofErr w:type="spellStart"/>
        <w:r>
          <w:rPr>
            <w:rStyle w:val="Hyperlink"/>
          </w:rPr>
          <w:t>divercity</w:t>
        </w:r>
        <w:proofErr w:type="spellEnd"/>
      </w:hyperlink>
    </w:p>
    <w:p w14:paraId="7448C717" w14:textId="77777777" w:rsidR="008E256B" w:rsidRDefault="008E256B" w:rsidP="008E256B"/>
    <w:p w14:paraId="270AB6F7" w14:textId="77777777" w:rsidR="008E256B" w:rsidRDefault="008E256B" w:rsidP="008E256B">
      <w:r>
        <w:rPr>
          <w:noProof/>
        </w:rPr>
        <w:drawing>
          <wp:inline distT="0" distB="0" distL="0" distR="0" wp14:anchorId="082C9E11" wp14:editId="145F9040">
            <wp:extent cx="856490" cy="704089"/>
            <wp:effectExtent l="0" t="0" r="1270" b="1270"/>
            <wp:docPr id="36"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ational Relay Service log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490" cy="704089"/>
                    </a:xfrm>
                    <a:prstGeom prst="rect">
                      <a:avLst/>
                    </a:prstGeom>
                  </pic:spPr>
                </pic:pic>
              </a:graphicData>
            </a:graphic>
          </wp:inline>
        </w:drawing>
      </w:r>
    </w:p>
    <w:p w14:paraId="6119F413" w14:textId="77777777" w:rsidR="008E256B" w:rsidRDefault="008E256B" w:rsidP="008E256B">
      <w:pPr>
        <w:pStyle w:val="Heading5"/>
      </w:pPr>
      <w:r>
        <w:t>National Relay Service</w:t>
      </w:r>
    </w:p>
    <w:p w14:paraId="3BB56EA5" w14:textId="77777777" w:rsidR="008E256B" w:rsidRDefault="008E256B" w:rsidP="008E256B">
      <w:r>
        <w:t>If you are deaf, hard of hearing or have trouble speaking, you can phone us through the National Relay Service (NRS):</w:t>
      </w:r>
    </w:p>
    <w:p w14:paraId="3A627F71" w14:textId="77777777" w:rsidR="008E256B" w:rsidRPr="00BD0F6D" w:rsidRDefault="008E256B" w:rsidP="008E256B">
      <w:r>
        <w:t>TTY users, dial 133677, ask for 03 9209 6777</w:t>
      </w:r>
    </w:p>
    <w:p w14:paraId="6FBFE12C" w14:textId="77777777" w:rsidR="008E256B" w:rsidRDefault="008E256B" w:rsidP="008E256B">
      <w:pPr>
        <w:rPr>
          <w:spacing w:val="-2"/>
        </w:rPr>
      </w:pPr>
      <w:r>
        <w:rPr>
          <w:spacing w:val="-2"/>
        </w:rPr>
        <w:t xml:space="preserve">Voice Relay users, phone 1300 555 727, </w:t>
      </w:r>
    </w:p>
    <w:p w14:paraId="2F2E4DFF" w14:textId="77777777" w:rsidR="008E256B" w:rsidRDefault="008E256B" w:rsidP="008E256B">
      <w:pPr>
        <w:rPr>
          <w:spacing w:val="-2"/>
        </w:rPr>
      </w:pPr>
      <w:r>
        <w:rPr>
          <w:spacing w:val="-2"/>
        </w:rPr>
        <w:t>then ask for 03 9209 6777.</w:t>
      </w:r>
    </w:p>
    <w:p w14:paraId="1E72F09A" w14:textId="77777777" w:rsidR="008E256B" w:rsidRPr="00EA5334" w:rsidRDefault="008E256B" w:rsidP="008E256B">
      <w:pPr>
        <w:rPr>
          <w:rStyle w:val="Hyperlink"/>
        </w:rPr>
      </w:pPr>
      <w:r>
        <w:fldChar w:fldCharType="begin"/>
      </w:r>
      <w:r>
        <w:instrText xml:space="preserve"> HYPERLINK "https://www.infrastructure.gov.au/media-communications-arts/phone/services-people-disability/accesshub" \o "relayservice.gov.au" </w:instrText>
      </w:r>
      <w:r>
        <w:fldChar w:fldCharType="separate"/>
      </w:r>
      <w:r>
        <w:rPr>
          <w:rStyle w:val="Hyperlink"/>
        </w:rPr>
        <w:t xml:space="preserve">accesshub.gov.au </w:t>
      </w:r>
    </w:p>
    <w:p w14:paraId="3A8509EE" w14:textId="77777777" w:rsidR="008E256B" w:rsidRPr="00BD0F6D" w:rsidRDefault="008E256B" w:rsidP="008E256B">
      <w:r>
        <w:fldChar w:fldCharType="end"/>
      </w:r>
      <w:r>
        <w:tab/>
      </w:r>
    </w:p>
    <w:p w14:paraId="1CDABBF7" w14:textId="77777777" w:rsidR="008E256B" w:rsidRDefault="008E256B" w:rsidP="008E256B">
      <w:pPr>
        <w:rPr>
          <w:rFonts w:eastAsiaTheme="majorEastAsia" w:cstheme="majorBidi"/>
          <w:spacing w:val="-10"/>
          <w:kern w:val="28"/>
          <w:sz w:val="32"/>
          <w:szCs w:val="32"/>
        </w:rPr>
      </w:pPr>
      <w:r>
        <w:rPr>
          <w:noProof/>
        </w:rPr>
        <w:drawing>
          <wp:inline distT="0" distB="0" distL="0" distR="0" wp14:anchorId="6F7B9790" wp14:editId="73726805">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r>
        <w:rPr>
          <w:rFonts w:eastAsiaTheme="majorEastAsia" w:cstheme="majorBidi"/>
          <w:spacing w:val="-10"/>
          <w:kern w:val="28"/>
          <w:sz w:val="32"/>
          <w:szCs w:val="32"/>
        </w:rPr>
        <w:br w:type="page"/>
      </w:r>
    </w:p>
    <w:p w14:paraId="0E69B7AB" w14:textId="77777777" w:rsidR="008E256B" w:rsidRPr="000643DF" w:rsidRDefault="008E256B" w:rsidP="008E256B">
      <w:pPr>
        <w:spacing w:after="240"/>
        <w:rPr>
          <w:color w:val="F68B1F"/>
          <w:sz w:val="40"/>
          <w:szCs w:val="40"/>
        </w:rPr>
      </w:pPr>
      <w:r>
        <w:rPr>
          <w:rFonts w:cs="Arial"/>
          <w:b/>
          <w:bCs/>
          <w:color w:val="F68B1F"/>
          <w:sz w:val="28"/>
          <w:szCs w:val="28"/>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rsidR="000A70B6" w14:paraId="47F857F1" w14:textId="77777777" w:rsidTr="00457D5D">
        <w:tc>
          <w:tcPr>
            <w:tcW w:w="3000" w:type="dxa"/>
            <w:shd w:val="clear" w:color="auto" w:fill="F68B1F"/>
          </w:tcPr>
          <w:p w14:paraId="0F1E8E04"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Responsible division</w:t>
            </w:r>
          </w:p>
        </w:tc>
        <w:tc>
          <w:tcPr>
            <w:tcW w:w="6770" w:type="dxa"/>
          </w:tcPr>
          <w:p>
            <w:pPr>
              <w:spacing w:before="40" w:after="40"/>
            </w:pPr>
          </w:p>
        </w:tc>
      </w:tr>
      <w:tr w:rsidR="000A70B6" w14:paraId="0BA98DD7" w14:textId="77777777" w:rsidTr="00457D5D">
        <w:tc>
          <w:tcPr>
            <w:tcW w:w="3000" w:type="dxa"/>
            <w:shd w:val="clear" w:color="auto" w:fill="F68B1F"/>
          </w:tcPr>
          <w:p w14:paraId="1D52A546"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Responsible department</w:t>
            </w:r>
          </w:p>
        </w:tc>
        <w:tc>
          <w:tcPr>
            <w:tcW w:w="6770" w:type="dxa"/>
          </w:tcPr>
          <w:p>
            <w:pPr>
              <w:spacing w:before="40" w:after="40"/>
            </w:pPr>
          </w:p>
        </w:tc>
      </w:tr>
      <w:tr w:rsidR="000A70B6" w14:paraId="4EF0C802" w14:textId="77777777" w:rsidTr="00457D5D">
        <w:tc>
          <w:tcPr>
            <w:tcW w:w="3000" w:type="dxa"/>
            <w:shd w:val="clear" w:color="auto" w:fill="F68B1F"/>
          </w:tcPr>
          <w:p w14:paraId="02B32AA8"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Policy owner</w:t>
            </w:r>
          </w:p>
        </w:tc>
        <w:tc>
          <w:tcPr>
            <w:tcW w:w="6770" w:type="dxa"/>
          </w:tcPr>
          <w:p>
            <w:pPr>
              <w:spacing w:before="40" w:after="40"/>
            </w:pPr>
          </w:p>
        </w:tc>
      </w:tr>
      <w:tr w:rsidR="000A70B6" w14:paraId="452466CD" w14:textId="77777777" w:rsidTr="00457D5D">
        <w:tc>
          <w:tcPr>
            <w:tcW w:w="3000" w:type="dxa"/>
            <w:shd w:val="clear" w:color="auto" w:fill="F68B1F"/>
          </w:tcPr>
          <w:p w14:paraId="0635D1F1"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Final</w:t>
            </w:r>
            <w:r>
              <w:rPr>
                <w:rFonts w:cs="Arial"/>
                <w:b/>
                <w:bCs/>
                <w:color w:val="FFFFFF" w:themeColor="background1"/>
                <w:sz w:val="20"/>
                <w:szCs w:val="20"/>
              </w:rPr>
              <w:t xml:space="preserve"> full refresh</w:t>
            </w:r>
            <w:r w:rsidRPr="00CF053B">
              <w:rPr>
                <w:rFonts w:cs="Arial"/>
                <w:b/>
                <w:bCs/>
                <w:color w:val="FFFFFF" w:themeColor="background1"/>
                <w:sz w:val="20"/>
                <w:szCs w:val="20"/>
              </w:rPr>
              <w:t xml:space="preserve"> approver</w:t>
            </w:r>
          </w:p>
        </w:tc>
        <w:tc>
          <w:tcPr>
            <w:tcW w:w="6770" w:type="dxa"/>
          </w:tcPr>
          <w:p>
            <w:pPr>
              <w:spacing w:before="40" w:after="40"/>
            </w:pPr>
          </w:p>
        </w:tc>
      </w:tr>
      <w:tr w:rsidR="000A70B6" w14:paraId="7EE4CB5A" w14:textId="77777777" w:rsidTr="00457D5D">
        <w:tc>
          <w:tcPr>
            <w:tcW w:w="3000" w:type="dxa"/>
            <w:shd w:val="clear" w:color="auto" w:fill="F68B1F"/>
          </w:tcPr>
          <w:p w14:paraId="2088A58F"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 xml:space="preserve">Date </w:t>
            </w:r>
            <w:r>
              <w:rPr>
                <w:rFonts w:cs="Arial"/>
                <w:b/>
                <w:bCs/>
                <w:color w:val="FFFFFF" w:themeColor="background1"/>
                <w:sz w:val="20"/>
                <w:szCs w:val="20"/>
              </w:rPr>
              <w:t>last full refresh approval</w:t>
            </w:r>
          </w:p>
        </w:tc>
        <w:tc>
          <w:tcPr>
            <w:tcW w:w="6770" w:type="dxa"/>
          </w:tcPr>
          <w:p>
            <w:pPr>
              <w:spacing w:before="40" w:after="40"/>
            </w:pPr>
            <w:r>
              <w:rPr>
                <w:rFonts w:cs="Arial"/>
                <w:sz w:val="20"/>
                <w:szCs w:val="20"/>
              </w:rPr>
              <w:t xml:space="preserve">30/01/2026</w:t>
            </w:r>
          </w:p>
        </w:tc>
      </w:tr>
      <w:tr w:rsidR="000A70B6" w14:paraId="1B2DB67B" w14:textId="77777777" w:rsidTr="00457D5D">
        <w:tc>
          <w:tcPr>
            <w:tcW w:w="3000" w:type="dxa"/>
            <w:shd w:val="clear" w:color="auto" w:fill="F68B1F"/>
          </w:tcPr>
          <w:p w14:paraId="2A5A43D7" w14:textId="77777777" w:rsidR="000A70B6" w:rsidRPr="00CF053B" w:rsidRDefault="000A70B6" w:rsidP="00457D5D">
            <w:pPr>
              <w:spacing w:before="40" w:after="40"/>
              <w:rPr>
                <w:rFonts w:cs="Arial"/>
                <w:b/>
                <w:bCs/>
                <w:color w:val="FFFFFF" w:themeColor="background1"/>
                <w:sz w:val="20"/>
                <w:szCs w:val="20"/>
              </w:rPr>
            </w:pPr>
            <w:r w:rsidRPr="00CF053B">
              <w:rPr>
                <w:rFonts w:cs="Arial"/>
                <w:b/>
                <w:bCs/>
                <w:color w:val="FFFFFF" w:themeColor="background1"/>
                <w:sz w:val="20"/>
                <w:szCs w:val="20"/>
              </w:rPr>
              <w:t xml:space="preserve">Next full </w:t>
            </w:r>
            <w:r>
              <w:rPr>
                <w:rFonts w:cs="Arial"/>
                <w:b/>
                <w:bCs/>
                <w:color w:val="FFFFFF" w:themeColor="background1"/>
                <w:sz w:val="20"/>
                <w:szCs w:val="20"/>
              </w:rPr>
              <w:t>refresh</w:t>
            </w:r>
            <w:r w:rsidRPr="00CF053B">
              <w:rPr>
                <w:rFonts w:cs="Arial"/>
                <w:b/>
                <w:bCs/>
                <w:color w:val="FFFFFF" w:themeColor="background1"/>
                <w:sz w:val="20"/>
                <w:szCs w:val="20"/>
              </w:rPr>
              <w:t xml:space="preserve"> date</w:t>
            </w:r>
          </w:p>
        </w:tc>
        <w:tc>
          <w:tcPr>
            <w:tcW w:w="6770" w:type="dxa"/>
          </w:tcPr>
          <w:p>
            <w:pPr>
              <w:spacing w:before="40" w:after="40"/>
            </w:pPr>
            <w:r>
              <w:rPr>
                <w:rFonts w:cs="Arial"/>
                <w:sz w:val="20"/>
                <w:szCs w:val="20"/>
              </w:rPr>
              <w:t xml:space="preserve">30/01/2030</w:t>
            </w:r>
          </w:p>
        </w:tc>
      </w:tr>
      <w:tr w:rsidR="000A70B6" w14:paraId="44C994FC" w14:textId="77777777" w:rsidTr="00457D5D">
        <w:tc>
          <w:tcPr>
            <w:tcW w:w="3000" w:type="dxa"/>
            <w:shd w:val="clear" w:color="auto" w:fill="F68B1F"/>
          </w:tcPr>
          <w:p w14:paraId="43BE3CCA" w14:textId="77777777" w:rsidR="000A70B6" w:rsidRPr="00CF053B" w:rsidRDefault="000A70B6" w:rsidP="00457D5D">
            <w:pPr>
              <w:spacing w:before="40" w:after="40"/>
              <w:rPr>
                <w:color w:val="FFFFFF" w:themeColor="background1"/>
                <w:sz w:val="20"/>
                <w:szCs w:val="20"/>
              </w:rPr>
            </w:pPr>
            <w:r w:rsidRPr="00CF053B">
              <w:rPr>
                <w:rFonts w:cs="Arial"/>
                <w:b/>
                <w:bCs/>
                <w:color w:val="FFFFFF" w:themeColor="background1"/>
                <w:sz w:val="20"/>
                <w:szCs w:val="20"/>
              </w:rPr>
              <w:t>Supersedes</w:t>
            </w:r>
          </w:p>
        </w:tc>
        <w:tc>
          <w:tcPr>
            <w:tcW w:w="6770" w:type="dxa"/>
          </w:tcPr>
          <w:p>
            <w:pPr>
              <w:spacing w:before="40" w:after="40"/>
            </w:pPr>
            <w:r>
              <w:rPr>
                <w:rFonts w:cs="Arial"/>
                <w:sz w:val="20"/>
                <w:szCs w:val="20"/>
              </w:rPr>
              <w:t xml:space="preserve">N/A</w:t>
            </w:r>
          </w:p>
        </w:tc>
      </w:tr>
    </w:tbl>
    <w:p w14:paraId="04656B48" w14:textId="77777777" w:rsidR="000A70B6" w:rsidRDefault="000A70B6" w:rsidP="000A70B6">
      <w:pPr>
        <w:rPr>
          <w:rFonts w:cs="Arial"/>
          <w:b/>
          <w:bCs/>
          <w:color w:val="003B5C"/>
          <w:sz w:val="28"/>
          <w:szCs w:val="28"/>
        </w:rPr>
      </w:pPr>
    </w:p>
    <w:p w14:paraId="41D15391" w14:textId="77777777" w:rsidR="008E256B" w:rsidRPr="000643DF" w:rsidRDefault="008E256B" w:rsidP="008E256B">
      <w:pPr>
        <w:rPr>
          <w:color w:val="F68B1F"/>
        </w:rPr>
      </w:pPr>
      <w:r>
        <w:rPr>
          <w:rFonts w:cs="Arial"/>
          <w:b/>
          <w:bCs/>
          <w:color w:val="F68B1F"/>
          <w:sz w:val="28"/>
          <w:szCs w:val="28"/>
        </w:rPr>
        <w:t>Document History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701"/>
        <w:gridCol w:w="1418"/>
        <w:gridCol w:w="2553"/>
        <w:gridCol w:w="2408"/>
      </w:tblGrid>
      <w:tr w:rsidR="000A70B6" w14:paraId="244A0900" w14:textId="77777777" w:rsidTr="000A70B6">
        <w:tc>
          <w:tcPr>
            <w:tcW w:w="1696"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C2FD54D" w14:textId="77777777" w:rsidR="000A70B6" w:rsidRDefault="000A70B6" w:rsidP="00457D5D">
            <w:r>
              <w:rPr>
                <w:rFonts w:eastAsia="Arial" w:cs="Arial"/>
                <w:b/>
                <w:bCs/>
                <w:color w:val="FFFFFF"/>
                <w:sz w:val="20"/>
                <w:szCs w:val="20"/>
              </w:rPr>
              <w:t>Version</w:t>
            </w:r>
          </w:p>
        </w:tc>
        <w:tc>
          <w:tcPr>
            <w:tcW w:w="1701"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1216B23C" w14:textId="77777777" w:rsidR="000A70B6" w:rsidRDefault="000A70B6" w:rsidP="00457D5D">
            <w:r>
              <w:rPr>
                <w:rFonts w:eastAsia="Arial" w:cs="Arial"/>
                <w:b/>
                <w:bCs/>
                <w:color w:val="FFFFFF"/>
                <w:sz w:val="20"/>
                <w:szCs w:val="20"/>
              </w:rPr>
              <w:t>Date Approved</w:t>
            </w:r>
          </w:p>
        </w:tc>
        <w:tc>
          <w:tcPr>
            <w:tcW w:w="141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0BC05150" w14:textId="77777777" w:rsidR="000A70B6" w:rsidRDefault="000A70B6" w:rsidP="00457D5D">
            <w:r>
              <w:rPr>
                <w:rFonts w:eastAsia="Arial" w:cs="Arial"/>
                <w:b/>
                <w:bCs/>
                <w:color w:val="FFFFFF"/>
                <w:sz w:val="20"/>
                <w:szCs w:val="20"/>
              </w:rPr>
              <w:t>Review type</w:t>
            </w:r>
          </w:p>
        </w:tc>
        <w:tc>
          <w:tcPr>
            <w:tcW w:w="2553"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6BFC0F4D" w14:textId="77777777" w:rsidR="000A70B6" w:rsidRDefault="000A70B6" w:rsidP="00457D5D">
            <w:r>
              <w:rPr>
                <w:rFonts w:eastAsia="Arial" w:cs="Arial"/>
                <w:b/>
                <w:bCs/>
                <w:color w:val="FFFFFF"/>
                <w:sz w:val="20"/>
                <w:szCs w:val="20"/>
              </w:rPr>
              <w:t>Changes made</w:t>
            </w:r>
          </w:p>
        </w:tc>
        <w:tc>
          <w:tcPr>
            <w:tcW w:w="2408" w:type="dxa"/>
            <w:tcBorders>
              <w:top w:val="single" w:sz="4" w:space="0" w:color="196BAC"/>
              <w:left w:val="single" w:sz="4" w:space="0" w:color="196BAC"/>
              <w:bottom w:val="single" w:sz="4" w:space="0" w:color="196BAC"/>
              <w:right w:val="single" w:sz="4" w:space="0" w:color="196BAC"/>
            </w:tcBorders>
            <w:shd w:val="clear" w:color="auto" w:fill="F68B1F"/>
            <w:tcMar>
              <w:top w:w="80" w:type="dxa"/>
              <w:left w:w="120" w:type="dxa"/>
              <w:bottom w:w="80" w:type="dxa"/>
              <w:right w:w="120" w:type="dxa"/>
            </w:tcMar>
          </w:tcPr>
          <w:p w14:paraId="3FE3E160" w14:textId="77777777" w:rsidR="000A70B6" w:rsidRDefault="000A70B6" w:rsidP="00457D5D">
            <w:r>
              <w:rPr>
                <w:rFonts w:eastAsia="Arial" w:cs="Arial"/>
                <w:b/>
                <w:bCs/>
                <w:color w:val="FFFFFF"/>
                <w:sz w:val="20"/>
                <w:szCs w:val="20"/>
              </w:rPr>
              <w:t>Approved by</w:t>
            </w:r>
          </w:p>
        </w:tc>
      </w:tr>
      <w:tr w:rsidR="000A70B6" w14:paraId="230EEEBC"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1.0</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30/01/2026</w:t>
            </w:r>
          </w:p>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N/A</w:t>
            </w:r>
          </w:p>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r>
              <w:rPr>
                <w:rFonts w:cs="Arial"/>
                <w:sz w:val="20"/>
                <w:szCs w:val="20"/>
              </w:rPr>
              <w:t xml:space="preserve">N/A</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pPr>
              <w:spacing w:before="40" w:after="40"/>
            </w:pPr>
          </w:p>
        </w:tc>
      </w:tr>
    </w:tbl>
    <w:p>
      <w:r>
        <w:br w:type="page"/>
      </w:r>
    </w:p>
    <w:p w14:paraId="6240B9E7" w14:textId="77777777" w:rsidR="00E97AAA" w:rsidRPr="000643DF" w:rsidRDefault="006A2122">
      <w:pPr>
        <w:rPr>
          <w:color w:val="F68B1F"/>
        </w:rPr>
      </w:pPr>
      <w:r>
        <w:rPr>
          <w:rFonts w:cs="Arial"/>
          <w:b/>
          <w:bCs/>
          <w:color w:val="F68B1F"/>
          <w:sz w:val="32"/>
          <w:szCs w:val="32"/>
        </w:rPr>
        <w:lastRenderedPageBreak/>
        <w:t>Table of Contents</w:t>
      </w:r>
    </w:p>
    <w:p>
      <w:pPr>
        <w:pStyle w:val="TOC1"/>
        <w:rPr>
          <w:rFonts w:asciiTheme="minorHAnsi" w:hAnsiTheme="minorHAnsi" w:cstheme="minorBidi"/>
          <w:noProof/>
          <w:kern w:val="2"/>
          <w:sz w:val="24"/>
          <w:szCs w:val="24"/>
          <w:lang w:val="en-AU" w:eastAsia="en-AU"/>
          <w14:ligatures/>
        </w:rPr>
      </w:pPr>
      <w:r>
        <w:fldChar w:fldCharType="begin"/>
      </w:r>
      <w:r>
        <w:instrText xml:space="preserve"> TOC \o "1-1" \h \z \u </w:instrText>
      </w:r>
      <w:r>
        <w:fldChar w:fldCharType="separate"/>
      </w:r>
      <w:hyperlink w:anchor="_Toc91000001" w:history="1">
        <w:r>
          <w:t xml:space="preserve">1.</w:t>
        </w:r>
        <w:r>
          <w:tab/>
        </w:r>
        <w:r>
          <w:t xml:space="preserve">Purpose</w:t>
        </w:r>
        <w:r>
          <w:tab/>
        </w:r>
        <w:r>
          <w:fldChar w:fldCharType="begin"/>
        </w:r>
        <w:r>
          <w:instrText xml:space="preserve"> PAGEREF _Toc91000001 \h </w:instrText>
        </w:r>
        <w:r>
          <w:fldChar w:fldCharType="separate"/>
        </w:r>
        <w:r>
          <w:t xml:space="preserve">4</w:t>
        </w:r>
        <w:r>
          <w:fldChar w:fldCharType="end"/>
        </w:r>
      </w:hyperlink>
    </w:p>
    <w:p>
      <w:pPr>
        <w:pStyle w:val="TOC1"/>
        <w:rPr>
          <w:rFonts w:asciiTheme="minorHAnsi" w:hAnsiTheme="minorHAnsi" w:cstheme="minorBidi"/>
          <w:noProof/>
          <w:kern w:val="2"/>
          <w:sz w:val="24"/>
          <w:szCs w:val="24"/>
          <w:lang w:val="en-AU" w:eastAsia="en-AU"/>
          <w14:ligatures/>
        </w:rPr>
      </w:pPr>
      <w:hyperlink w:anchor="_Toc91000002" w:history="1">
        <w:r>
          <w:t xml:space="preserve">2.</w:t>
        </w:r>
        <w:r>
          <w:tab/>
        </w:r>
        <w:r>
          <w:t xml:space="preserve">Scope</w:t>
        </w:r>
        <w:r>
          <w:tab/>
        </w:r>
        <w:r>
          <w:fldChar w:fldCharType="begin"/>
        </w:r>
        <w:r>
          <w:instrText xml:space="preserve"> PAGEREF _Toc91000002 \h </w:instrText>
        </w:r>
        <w:r>
          <w:fldChar w:fldCharType="separate"/>
        </w:r>
        <w:r>
          <w:t xml:space="preserve">4</w:t>
        </w:r>
        <w:r>
          <w:fldChar w:fldCharType="end"/>
        </w:r>
      </w:hyperlink>
    </w:p>
    <w:p>
      <w:pPr>
        <w:pStyle w:val="TOC1"/>
        <w:rPr>
          <w:rFonts w:asciiTheme="minorHAnsi" w:hAnsiTheme="minorHAnsi" w:cstheme="minorBidi"/>
          <w:noProof/>
          <w:kern w:val="2"/>
          <w:sz w:val="24"/>
          <w:szCs w:val="24"/>
          <w:lang w:val="en-AU" w:eastAsia="en-AU"/>
          <w14:ligatures/>
        </w:rPr>
      </w:pPr>
      <w:hyperlink w:anchor="_Toc91000003" w:history="1">
        <w:r>
          <w:t xml:space="preserve">3.</w:t>
        </w:r>
        <w:r>
          <w:tab/>
        </w:r>
        <w:r>
          <w:t xml:space="preserve">Council’s Integrity Framework</w:t>
        </w:r>
        <w:r>
          <w:tab/>
        </w:r>
        <w:r>
          <w:fldChar w:fldCharType="begin"/>
        </w:r>
        <w:r>
          <w:instrText xml:space="preserve"> PAGEREF _Toc91000003 \h </w:instrText>
        </w:r>
        <w:r>
          <w:fldChar w:fldCharType="separate"/>
        </w:r>
        <w:r>
          <w:t xml:space="preserve">5</w:t>
        </w:r>
        <w:r>
          <w:fldChar w:fldCharType="end"/>
        </w:r>
      </w:hyperlink>
    </w:p>
    <w:p>
      <w:pPr>
        <w:pStyle w:val="TOC1"/>
        <w:rPr>
          <w:rFonts w:asciiTheme="minorHAnsi" w:hAnsiTheme="minorHAnsi" w:cstheme="minorBidi"/>
          <w:noProof/>
          <w:kern w:val="2"/>
          <w:sz w:val="24"/>
          <w:szCs w:val="24"/>
          <w:lang w:val="en-AU" w:eastAsia="en-AU"/>
          <w14:ligatures/>
        </w:rPr>
      </w:pPr>
      <w:hyperlink w:anchor="_Toc91000004" w:history="1">
        <w:r>
          <w:t xml:space="preserve">4.</w:t>
        </w:r>
        <w:r>
          <w:tab/>
        </w:r>
        <w:r>
          <w:t xml:space="preserve">Different Complaint Types</w:t>
        </w:r>
        <w:r>
          <w:tab/>
        </w:r>
        <w:r>
          <w:fldChar w:fldCharType="begin"/>
        </w:r>
        <w:r>
          <w:instrText xml:space="preserve"> PAGEREF _Toc91000004 \h </w:instrText>
        </w:r>
        <w:r>
          <w:fldChar w:fldCharType="separate"/>
        </w:r>
        <w:r>
          <w:t xml:space="preserve">5</w:t>
        </w:r>
        <w:r>
          <w:fldChar w:fldCharType="end"/>
        </w:r>
      </w:hyperlink>
    </w:p>
    <w:p>
      <w:pPr>
        <w:pStyle w:val="TOC1"/>
        <w:rPr>
          <w:rFonts w:asciiTheme="minorHAnsi" w:hAnsiTheme="minorHAnsi" w:cstheme="minorBidi"/>
          <w:noProof/>
          <w:kern w:val="2"/>
          <w:sz w:val="24"/>
          <w:szCs w:val="24"/>
          <w:lang w:val="en-AU" w:eastAsia="en-AU"/>
          <w14:ligatures/>
        </w:rPr>
      </w:pPr>
      <w:hyperlink w:anchor="_Toc91000005" w:history="1">
        <w:r>
          <w:t xml:space="preserve">5.</w:t>
        </w:r>
        <w:r>
          <w:tab/>
        </w:r>
        <w:r>
          <w:t xml:space="preserve">Roles and Responsibilities</w:t>
        </w:r>
        <w:r>
          <w:tab/>
        </w:r>
        <w:r>
          <w:fldChar w:fldCharType="begin"/>
        </w:r>
        <w:r>
          <w:instrText xml:space="preserve"> PAGEREF _Toc91000005 \h </w:instrText>
        </w:r>
        <w:r>
          <w:fldChar w:fldCharType="separate"/>
        </w:r>
        <w:r>
          <w:t xml:space="preserve">8</w:t>
        </w:r>
        <w:r>
          <w:fldChar w:fldCharType="end"/>
        </w:r>
      </w:hyperlink>
    </w:p>
    <w:p>
      <w:pPr>
        <w:pStyle w:val="TOC1"/>
        <w:rPr>
          <w:rFonts w:asciiTheme="minorHAnsi" w:hAnsiTheme="minorHAnsi" w:cstheme="minorBidi"/>
          <w:noProof/>
          <w:kern w:val="2"/>
          <w:sz w:val="24"/>
          <w:szCs w:val="24"/>
          <w:lang w:val="en-AU" w:eastAsia="en-AU"/>
          <w14:ligatures/>
        </w:rPr>
      </w:pPr>
      <w:hyperlink w:anchor="_Toc91000006" w:history="1">
        <w:r>
          <w:t xml:space="preserve">6.</w:t>
        </w:r>
        <w:r>
          <w:tab/>
        </w:r>
        <w:r>
          <w:t xml:space="preserve">Process Map</w:t>
        </w:r>
        <w:r>
          <w:tab/>
        </w:r>
        <w:r>
          <w:fldChar w:fldCharType="begin"/>
        </w:r>
        <w:r>
          <w:instrText xml:space="preserve"> PAGEREF _Toc91000006 \h </w:instrText>
        </w:r>
        <w:r>
          <w:fldChar w:fldCharType="separate"/>
        </w:r>
        <w:r>
          <w:t xml:space="preserve">10</w:t>
        </w:r>
        <w:r>
          <w:fldChar w:fldCharType="end"/>
        </w:r>
      </w:hyperlink>
    </w:p>
    <w:p>
      <w:pPr>
        <w:pStyle w:val="TOC1"/>
        <w:rPr>
          <w:rFonts w:asciiTheme="minorHAnsi" w:hAnsiTheme="minorHAnsi" w:cstheme="minorBidi"/>
          <w:noProof/>
          <w:kern w:val="2"/>
          <w:sz w:val="24"/>
          <w:szCs w:val="24"/>
          <w:lang w:val="en-AU" w:eastAsia="en-AU"/>
          <w14:ligatures/>
        </w:rPr>
      </w:pPr>
      <w:hyperlink w:anchor="_Toc91000007" w:history="1">
        <w:r>
          <w:t xml:space="preserve">7.</w:t>
        </w:r>
        <w:r>
          <w:tab/>
        </w:r>
        <w:r>
          <w:t xml:space="preserve">Relevant Legislation</w:t>
        </w:r>
        <w:r>
          <w:tab/>
        </w:r>
        <w:r>
          <w:fldChar w:fldCharType="begin"/>
        </w:r>
        <w:r>
          <w:instrText xml:space="preserve"> PAGEREF _Toc91000007 \h </w:instrText>
        </w:r>
        <w:r>
          <w:fldChar w:fldCharType="separate"/>
        </w:r>
        <w:r>
          <w:t xml:space="preserve">10</w:t>
        </w:r>
        <w:r>
          <w:fldChar w:fldCharType="end"/>
        </w:r>
      </w:hyperlink>
    </w:p>
    <w:p>
      <w:pPr>
        <w:pStyle w:val="TOC1"/>
        <w:rPr>
          <w:rFonts w:asciiTheme="minorHAnsi" w:hAnsiTheme="minorHAnsi" w:cstheme="minorBidi"/>
          <w:noProof/>
          <w:kern w:val="2"/>
          <w:sz w:val="24"/>
          <w:szCs w:val="24"/>
          <w:lang w:val="en-AU" w:eastAsia="en-AU"/>
          <w14:ligatures/>
        </w:rPr>
      </w:pPr>
      <w:hyperlink w:anchor="_Toc91000008" w:history="1">
        <w:r>
          <w:t xml:space="preserve">8.</w:t>
        </w:r>
        <w:r>
          <w:tab/>
        </w:r>
        <w:r>
          <w:t xml:space="preserve">IBAC Resources</w:t>
        </w:r>
        <w:r>
          <w:tab/>
        </w:r>
        <w:r>
          <w:fldChar w:fldCharType="begin"/>
        </w:r>
        <w:r>
          <w:instrText xml:space="preserve"> PAGEREF _Toc91000008 \h </w:instrText>
        </w:r>
        <w:r>
          <w:fldChar w:fldCharType="separate"/>
        </w:r>
        <w:r>
          <w:t xml:space="preserve">11</w:t>
        </w:r>
        <w:r>
          <w:fldChar w:fldCharType="end"/>
        </w:r>
      </w:hyperlink>
    </w:p>
    <w:p>
      <w:pPr>
        <w:pStyle w:val="TOC1"/>
        <w:rPr>
          <w:rFonts w:asciiTheme="minorHAnsi" w:hAnsiTheme="minorHAnsi" w:cstheme="minorBidi"/>
          <w:noProof/>
          <w:kern w:val="2"/>
          <w:sz w:val="24"/>
          <w:szCs w:val="24"/>
          <w:lang w:val="en-AU" w:eastAsia="en-AU"/>
          <w14:ligatures/>
        </w:rPr>
      </w:pPr>
      <w:hyperlink w:anchor="_Toc91000009" w:history="1">
        <w:r>
          <w:t xml:space="preserve">9.</w:t>
        </w:r>
        <w:r>
          <w:tab/>
        </w:r>
        <w:r>
          <w:t xml:space="preserve">Intranet Documents</w:t>
        </w:r>
        <w:r>
          <w:tab/>
        </w:r>
        <w:r>
          <w:fldChar w:fldCharType="begin"/>
        </w:r>
        <w:r>
          <w:instrText xml:space="preserve"> PAGEREF _Toc91000009 \h </w:instrText>
        </w:r>
        <w:r>
          <w:fldChar w:fldCharType="separate"/>
        </w:r>
        <w:r>
          <w:t xml:space="preserve">11</w:t>
        </w:r>
        <w:r>
          <w:fldChar w:fldCharType="end"/>
        </w:r>
      </w:hyperlink>
    </w:p>
    <w:p>
      <w:pPr>
        <w:pStyle w:val="TOC1"/>
        <w:rPr>
          <w:rFonts w:asciiTheme="minorHAnsi" w:hAnsiTheme="minorHAnsi" w:cstheme="minorBidi"/>
          <w:noProof/>
          <w:kern w:val="2"/>
          <w:sz w:val="24"/>
          <w:szCs w:val="24"/>
          <w:lang w:val="en-AU" w:eastAsia="en-AU"/>
          <w14:ligatures/>
        </w:rPr>
      </w:pPr>
      <w:hyperlink w:anchor="_Toc91000010" w:history="1">
        <w:r>
          <w:t xml:space="preserve">10.</w:t>
        </w:r>
        <w:r>
          <w:tab/>
        </w:r>
        <w:r>
          <w:t xml:space="preserve">Contact IBAC</w:t>
        </w:r>
        <w:r>
          <w:tab/>
        </w:r>
        <w:r>
          <w:fldChar w:fldCharType="begin"/>
        </w:r>
        <w:r>
          <w:instrText xml:space="preserve"> PAGEREF _Toc91000010 \h </w:instrText>
        </w:r>
        <w:r>
          <w:fldChar w:fldCharType="separate"/>
        </w:r>
        <w:r>
          <w:t xml:space="preserve">12</w:t>
        </w:r>
        <w:r>
          <w:fldChar w:fldCharType="end"/>
        </w:r>
      </w:hyperlink>
    </w:p>
    <w:p>
      <w:pPr>
        <w:pStyle w:val="TOC1"/>
        <w:rPr>
          <w:rFonts w:asciiTheme="minorHAnsi" w:hAnsiTheme="minorHAnsi" w:cstheme="minorBidi"/>
          <w:noProof/>
          <w:kern w:val="2"/>
          <w:sz w:val="24"/>
          <w:szCs w:val="24"/>
          <w:lang w:val="en-AU" w:eastAsia="en-AU"/>
          <w14:ligatures/>
        </w:rPr>
      </w:pPr>
      <w:hyperlink w:anchor="_Toc91000011" w:history="1">
        <w:r>
          <w:t xml:space="preserve">11.</w:t>
        </w:r>
        <w:r>
          <w:tab/>
        </w:r>
        <w:r>
          <w:t xml:space="preserve">Internal Contacts</w:t>
        </w:r>
        <w:r>
          <w:tab/>
        </w:r>
        <w:r>
          <w:fldChar w:fldCharType="begin"/>
        </w:r>
        <w:r>
          <w:instrText xml:space="preserve"> PAGEREF _Toc91000011 \h </w:instrText>
        </w:r>
        <w:r>
          <w:fldChar w:fldCharType="separate"/>
        </w:r>
        <w:r>
          <w:t xml:space="preserve">12</w:t>
        </w:r>
        <w:r>
          <w:fldChar w:fldCharType="end"/>
        </w:r>
      </w:hyperlink>
    </w:p>
    <w:p>
      <w:pPr>
        <w:pStyle w:val="TOC1"/>
        <w:rPr>
          <w:rFonts w:asciiTheme="minorHAnsi" w:hAnsiTheme="minorHAnsi" w:cstheme="minorBidi"/>
          <w:noProof/>
          <w:kern w:val="2"/>
          <w:sz w:val="24"/>
          <w:szCs w:val="24"/>
          <w:lang w:val="en-AU" w:eastAsia="en-AU"/>
          <w14:ligatures/>
        </w:rPr>
      </w:pPr>
      <w:hyperlink w:anchor="_Toc91000012" w:history="1">
        <w:r>
          <w:t xml:space="preserve">12.</w:t>
        </w:r>
        <w:r>
          <w:tab/>
        </w:r>
        <w:r>
          <w:t xml:space="preserve">Definitions</w:t>
        </w:r>
        <w:r>
          <w:tab/>
        </w:r>
        <w:r>
          <w:fldChar w:fldCharType="begin"/>
        </w:r>
        <w:r>
          <w:instrText xml:space="preserve"> PAGEREF _Toc91000012 \h </w:instrText>
        </w:r>
        <w:r>
          <w:fldChar w:fldCharType="separate"/>
        </w:r>
        <w:r>
          <w:t xml:space="preserve">12</w:t>
        </w:r>
        <w:r>
          <w:fldChar w:fldCharType="end"/>
        </w:r>
      </w:hyperlink>
    </w:p>
    <w:p>
      <w:pPr>
        <w:pStyle w:val="TOC1"/>
        <w:rPr>
          <w:rFonts w:asciiTheme="minorHAnsi" w:hAnsiTheme="minorHAnsi" w:cstheme="minorBidi"/>
          <w:noProof/>
          <w:kern w:val="2"/>
          <w:sz w:val="24"/>
          <w:szCs w:val="24"/>
          <w:lang w:val="en-AU" w:eastAsia="en-AU"/>
          <w14:ligatures/>
        </w:rPr>
      </w:pPr>
      <w:r>
        <w:fldChar w:fldCharType="end"/>
      </w:r>
    </w:p>
    <w:p>
      <w:r>
        <w:br w:type="page"/>
      </w:r>
    </w:p>
    <w:p>
      <w:pPr>
        <w:pStyle w:val="Heading1"/>
      </w:pPr>
      <w:bookmarkStart w:id="9101" w:name="_Toc91000001"/>
      <w:r>
        <w:t xml:space="preserve">Purpose</w:t>
      </w:r>
      <w:bookmarkEnd w:id="9101"/>
    </w:p>
    <w:p>
      <w:pPr/>
      <w:r>
        <w:t xml:space="preserve">The purpose of this document is to provide clear, practical internal management guidance to specific City of Port Phillip officers who are responsible for, have a substantial role in connection with, or otherwise have a critical need to be aware of, the appropriate processes for reporting and managing suspected fraud, corruption and Public Interest Disclosures (</w:t>
      </w:r>
      <w:r>
        <w:rPr>
          <w:b/>
          <w:bCs/>
        </w:rPr>
        <w:t xml:space="preserve">PID</w:t>
      </w:r>
      <w:r>
        <w:t xml:space="preserve">). In the ordinary course, those stakeholders will be the CEO (Principal Officer), Chief People Officer, Manager, Communication and Governance (PID Coordinator), Head of Risk and Assurance and the Fraud and Corruption Action Group (</w:t>
      </w:r>
      <w:r>
        <w:rPr>
          <w:b/>
          <w:bCs/>
        </w:rPr>
        <w:t xml:space="preserve">Integrity Stakeholders</w:t>
      </w:r>
      <w:r>
        <w:t xml:space="preserve">). It also assists officers in assessing whether a HR complaint constitutes potential or suspected improper or unethical conduct that may require escalation through integrity processes.</w:t>
      </w:r>
    </w:p>
    <w:p>
      <w:pPr/>
      <w:r>
        <w:t xml:space="preserve">Different areas of the organisation have responsibilities in receiving, assessing and responding to these matters, and this document brings together the relevant roles, responsibilities and processes into a single reference point. It aims to ensure that all relevant senior officers understand who to contact, what steps to follow, and how matters are assessed and escalated in accordance with Council's obligations under the </w:t>
      </w:r>
      <w:r>
        <w:rPr>
          <w:i/>
          <w:iCs/>
        </w:rPr>
        <w:t xml:space="preserve">Independent Broad-based Anti-corruption Commission Act</w:t>
      </w:r>
      <w:r>
        <w:t xml:space="preserve"> 2011 (Vic) (</w:t>
      </w:r>
      <w:r>
        <w:rPr>
          <w:b/>
          <w:bCs/>
        </w:rPr>
        <w:t xml:space="preserve">IBAC Act</w:t>
      </w:r>
      <w:r>
        <w:t xml:space="preserve">) and the </w:t>
      </w:r>
      <w:r>
        <w:rPr>
          <w:i/>
          <w:iCs/>
        </w:rPr>
        <w:t xml:space="preserve">Public Interest Disclosures Act</w:t>
      </w:r>
      <w:r>
        <w:t xml:space="preserve"> 2012 (Vic) (</w:t>
      </w:r>
      <w:r>
        <w:rPr>
          <w:b/>
          <w:bCs/>
        </w:rPr>
        <w:t xml:space="preserve">PID Act</w:t>
      </w:r>
      <w:r>
        <w:t xml:space="preserve">).</w:t>
      </w:r>
    </w:p>
    <w:p>
      <w:pPr/>
      <w:r>
        <w:t xml:space="preserve">This document does not replace and is not intended to alter the following critical source documents:</w:t>
      </w:r>
    </w:p>
    <w:p>
      <w:pPr>
        <w:pStyle w:val="ListParagraph"/>
        <w:numPr>
          <w:ilvl w:val="0"/>
          <w:numId w:val="15"/>
        </w:numPr>
        <w:jc w:val="left"/>
      </w:pPr>
      <w:r>
        <w:t xml:space="preserve">the obligations imposed on City of Port Phillip and its officers under relevant legislation (especially the IBAC Act and the PID Act); or</w:t>
      </w:r>
    </w:p>
    <w:p>
      <w:pPr>
        <w:pStyle w:val="ListParagraph"/>
        <w:numPr>
          <w:ilvl w:val="0"/>
          <w:numId w:val="15"/>
        </w:numPr>
        <w:jc w:val="left"/>
      </w:pPr>
      <w:r>
        <w:t xml:space="preserve">the </w:t>
      </w:r>
      <w:r>
        <w:rPr>
          <w:i/>
          <w:iCs/>
        </w:rPr>
        <w:t xml:space="preserve">Public Interest Disclosures Procedures of Port Phillip City Council</w:t>
      </w:r>
      <w:r>
        <w:t xml:space="preserve"> established under section 58 of the PID Act (as varied from time to time).</w:t>
      </w:r>
    </w:p>
    <w:p>
      <w:pPr/>
      <w:r>
        <w:t xml:space="preserve">This document contains non-binding guidelines for Integrity Stakeholders only, and is not for wider distribution among Council officers.</w:t>
      </w:r>
    </w:p>
    <w:p>
      <w:pPr>
        <w:pStyle w:val="Heading1"/>
      </w:pPr>
      <w:bookmarkStart w:id="9102" w:name="_Toc91000002"/>
      <w:r>
        <w:t xml:space="preserve">Scope</w:t>
      </w:r>
      <w:bookmarkEnd w:id="9102"/>
    </w:p>
    <w:p>
      <w:pPr/>
      <w:r>
        <w:t xml:space="preserve">This document provides guidance on reporting and managing integrity matters at the City of Port Phillip. It covers two key streams:</w:t>
      </w:r>
    </w:p>
    <w:p>
      <w:pPr>
        <w:pStyle w:val="ListParagraph"/>
        <w:numPr>
          <w:ilvl w:val="0"/>
          <w:numId w:val="15"/>
        </w:numPr>
        <w:jc w:val="left"/>
      </w:pPr>
      <w:r>
        <w:rPr>
          <w:b/>
          <w:bCs/>
        </w:rPr>
        <w:t xml:space="preserve">Suspected corrupt conduct</w:t>
      </w:r>
      <w:r>
        <w:t xml:space="preserve"> requiring mandatory notification to IBAC under </w:t>
      </w:r>
      <w:hyperlink r:id="rId300" w:history="1">
        <w:r>
          <w:rPr>
            <w:rStyle w:val="Hyperlink"/>
          </w:rPr>
          <w:t xml:space="preserve">Section 57 of the IBAC Act</w:t>
        </w:r>
      </w:hyperlink>
      <w:r>
        <w:t xml:space="preserve">; and</w:t>
      </w:r>
    </w:p>
    <w:p>
      <w:pPr>
        <w:pStyle w:val="ListParagraph"/>
        <w:numPr>
          <w:ilvl w:val="0"/>
          <w:numId w:val="15"/>
        </w:numPr>
        <w:jc w:val="left"/>
      </w:pPr>
      <w:r>
        <w:rPr>
          <w:b/>
          <w:bCs/>
        </w:rPr>
        <w:t xml:space="preserve">Public Interest Disclosures (PIDs)</w:t>
      </w:r>
      <w:r>
        <w:t xml:space="preserve"> made under the </w:t>
      </w:r>
      <w:r>
        <w:rPr>
          <w:i/>
          <w:iCs/>
        </w:rPr>
        <w:t xml:space="preserve">Public Interest Disclosures Act 2012 (Vic).</w:t>
      </w:r>
    </w:p>
    <w:p>
      <w:pPr/>
      <w:r>
        <w:rPr>
          <w:u w:val="single"/>
        </w:rPr>
        <w:t xml:space="preserve">NOTE:</w:t>
      </w:r>
      <w:r>
        <w:t xml:space="preserve"> In some circumstances, both Section 57 notification and PID processes may run concurrently where the same matter meets thresholds for both pathways.</w:t>
      </w:r>
    </w:p>
    <w:p>
      <w:pPr/>
      <w:r>
        <w:t xml:space="preserve">General HR complaints that do not meet the threshold for potential or suspected corrupt conduct or a public interest disclosure are managed by the People Culture and Safety team through standard HR processes.</w:t>
      </w:r>
    </w:p>
    <w:p>
      <w:pPr/>
      <w:r>
        <w:t xml:space="preserve">Specifically, this guide contains:</w:t>
      </w:r>
    </w:p>
    <w:p>
      <w:pPr>
        <w:pStyle w:val="ListParagraph"/>
        <w:numPr>
          <w:ilvl w:val="0"/>
          <w:numId w:val="15"/>
        </w:numPr>
        <w:jc w:val="left"/>
      </w:pPr>
      <w:r>
        <w:rPr>
          <w:b/>
          <w:bCs/>
        </w:rPr>
        <w:t xml:space="preserve">Roles and Responsibilities:</w:t>
      </w:r>
      <w:r>
        <w:t xml:space="preserve"> A clear breakdown of accountabilities for integrity stakeholders including the CEO (Principal Officer), Chief People Officer, Manager, Communication and Governance (PID Coordinator), Head of Risk and Assurance and the Fraud and Corruption Action Group.</w:t>
      </w:r>
    </w:p>
    <w:p>
      <w:pPr>
        <w:pStyle w:val="ListParagraph"/>
        <w:numPr>
          <w:ilvl w:val="0"/>
          <w:numId w:val="15"/>
        </w:numPr>
        <w:jc w:val="left"/>
      </w:pPr>
      <w:r>
        <w:rPr>
          <w:b/>
          <w:bCs/>
        </w:rPr>
        <w:t xml:space="preserve">Assessment Pathways and Process Maps:</w:t>
      </w:r>
      <w:r>
        <w:t xml:space="preserve"> A visual workflow and guidance on distinguishing between general HR grievances, suspected or potential corrupt conduct requiring notification under the IBAC Act and disclosures made under the PID Act.</w:t>
      </w:r>
    </w:p>
    <w:p>
      <w:pPr>
        <w:pStyle w:val="ListParagraph"/>
        <w:numPr>
          <w:ilvl w:val="0"/>
          <w:numId w:val="15"/>
        </w:numPr>
        <w:jc w:val="left"/>
      </w:pPr>
      <w:r>
        <w:rPr>
          <w:b/>
          <w:bCs/>
        </w:rPr>
        <w:t xml:space="preserve">Operational Resources:</w:t>
      </w:r>
      <w:r>
        <w:t xml:space="preserve"> Frequently asked questions, definitions, and direct links to relevant legislation, IBAC resources, and internal policies.</w:t>
      </w:r>
    </w:p>
    <w:p>
      <w:pPr/>
      <w:r>
        <w:t xml:space="preserve">This document does not replace specific HR policies for standard grievances, nor is it an official PID procedure for the purposes of section 58 of the </w:t>
      </w:r>
      <w:r>
        <w:rPr>
          <w:i/>
          <w:iCs/>
        </w:rPr>
        <w:t xml:space="preserve">Public Interest Disclosures Act 2012 (Vic)</w:t>
      </w:r>
      <w:r>
        <w:t xml:space="preserve">.</w:t>
      </w:r>
    </w:p>
    <w:p>
      <w:pPr/>
      <w:r>
        <w:t xml:space="preserve">This document serves as the primary mechanism for handling matters that meet the threshold for potential or suspected corruption, fraud, or public interest disclosures, ensuring compliance with legislative obligations and Council’s Integrity framework.</w:t>
      </w:r>
    </w:p>
    <w:p>
      <w:pPr>
        <w:pStyle w:val="Heading1"/>
      </w:pPr>
      <w:bookmarkStart w:id="9103" w:name="_Toc91000003"/>
      <w:r>
        <w:t xml:space="preserve">Council’s Integrity Framework</w:t>
      </w:r>
      <w:bookmarkEnd w:id="9103"/>
    </w:p>
    <w:p>
      <w:pPr/>
      <w:r>
        <w:t xml:space="preserve">This guide operates within Council's broader </w:t>
      </w:r>
      <w:hyperlink r:id="rId301" w:history="1">
        <w:r>
          <w:rPr>
            <w:rStyle w:val="Hyperlink"/>
          </w:rPr>
          <w:t xml:space="preserve">Integrity Framework</w:t>
        </w:r>
      </w:hyperlink>
      <w:r>
        <w:t xml:space="preserve">, which establishes the strategic foundation for how we embed integrity across the organisation.</w:t>
      </w:r>
    </w:p>
    <w:p>
      <w:pPr/>
      <w:r>
        <w:t xml:space="preserve">The Framework is built on five pillars: ethical culture, leadership and capability development, governance and accountability, integrated policies and fraud prevention, and risk management. Together, these pillars support Council in honest, transparent decision-making that serves the best interests of our community.</w:t>
      </w:r>
    </w:p>
    <w:p>
      <w:pPr>
        <w:pStyle w:val="Heading1"/>
      </w:pPr>
      <w:bookmarkStart w:id="9104" w:name="_Toc91000004"/>
      <w:r>
        <w:t xml:space="preserve">Different Complaint Types</w:t>
      </w:r>
      <w:bookmarkEnd w:id="9104"/>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1300"/>
        <w:gridCol w:w="3400"/>
        <w:gridCol w:w="1800"/>
        <w:gridCol w:w="2526"/>
      </w:tblGrid>
      <w:tr>
        <w:trPr>
          <w:cantSplit/>
          <w:tblHeader/>
        </w:trPr>
        <w:tc>
          <w:tcPr>
            <w:tcW w:w="1300" w:type="dxa"/>
            <w:shd w:val="clear" w:color="auto" w:fill="F68B1F"/>
          </w:tcPr>
          <w:p>
            <w:pPr>
              <w:keepNext/>
              <w:spacing w:before="40" w:after="40" w:line="252" w:lineRule="auto"/>
            </w:pPr>
            <w:r>
              <w:rPr>
                <w:b/>
                <w:bCs/>
                <w:color w:val="FFFFFF"/>
                <w:sz w:val="20"/>
                <w:szCs w:val="20"/>
              </w:rPr>
              <w:t xml:space="preserve">Complaint Type</w:t>
            </w:r>
          </w:p>
        </w:tc>
        <w:tc>
          <w:tcPr>
            <w:tcW w:w="3400" w:type="dxa"/>
            <w:shd w:val="clear" w:color="auto" w:fill="F68B1F"/>
          </w:tcPr>
          <w:p>
            <w:pPr>
              <w:keepNext/>
              <w:spacing w:before="40" w:after="40" w:line="252" w:lineRule="auto"/>
            </w:pPr>
            <w:r>
              <w:rPr>
                <w:b/>
                <w:bCs/>
                <w:color w:val="FFFFFF"/>
                <w:sz w:val="20"/>
                <w:szCs w:val="20"/>
              </w:rPr>
              <w:t xml:space="preserve">Definition</w:t>
            </w:r>
          </w:p>
        </w:tc>
        <w:tc>
          <w:tcPr>
            <w:tcW w:w="1800" w:type="dxa"/>
            <w:shd w:val="clear" w:color="auto" w:fill="F68B1F"/>
          </w:tcPr>
          <w:p>
            <w:pPr>
              <w:keepNext/>
              <w:spacing w:before="40" w:after="40" w:line="252" w:lineRule="auto"/>
            </w:pPr>
            <w:r>
              <w:rPr>
                <w:b/>
                <w:bCs/>
                <w:color w:val="FFFFFF"/>
                <w:sz w:val="20"/>
                <w:szCs w:val="20"/>
              </w:rPr>
              <w:t xml:space="preserve">Key Test</w:t>
            </w:r>
          </w:p>
        </w:tc>
        <w:tc>
          <w:tcPr>
            <w:tcW w:w="2526" w:type="dxa"/>
            <w:shd w:val="clear" w:color="auto" w:fill="F68B1F"/>
          </w:tcPr>
          <w:p>
            <w:pPr>
              <w:keepNext/>
              <w:spacing w:before="40" w:after="40" w:line="252" w:lineRule="auto"/>
            </w:pPr>
            <w:r>
              <w:rPr>
                <w:b/>
                <w:bCs/>
                <w:color w:val="FFFFFF"/>
                <w:sz w:val="20"/>
                <w:szCs w:val="20"/>
              </w:rPr>
              <w:t xml:space="preserve">Examples of Conduct</w:t>
            </w:r>
          </w:p>
        </w:tc>
      </w:tr>
      <w:tr>
        <w:tc>
          <w:tcPr>
            <w:tcW w:w="1300" w:type="dxa"/>
          </w:tcPr>
          <w:p>
            <w:pPr>
              <w:spacing w:before="40" w:after="40" w:line="252" w:lineRule="auto"/>
            </w:pPr>
            <w:r>
              <w:rPr>
                <w:sz w:val="20"/>
                <w:szCs w:val="20"/>
              </w:rPr>
              <w:t xml:space="preserve">Improper conduct</w:t>
            </w:r>
            <w:r>
              <w:rPr>
                <w:rStyle w:val="FootnoteReference"/>
              </w:rPr>
              <w:footnoteReference w:id="2"/>
            </w:r>
          </w:p>
        </w:tc>
        <w:tc>
          <w:tcPr>
            <w:tcW w:w="3400" w:type="dxa"/>
          </w:tcPr>
          <w:p>
            <w:pPr>
              <w:pStyle w:val="ListParagraph"/>
              <w:numPr>
                <w:ilvl w:val="0"/>
                <w:numId w:val="15"/>
              </w:numPr>
              <w:spacing w:before="20" w:after="40" w:line="240" w:lineRule="auto"/>
              <w:ind w:left="284" w:hanging="284"/>
              <w:contextualSpacing w:val="0"/>
              <w:jc w:val="left"/>
            </w:pPr>
            <w:r>
              <w:rPr>
                <w:sz w:val="20"/>
                <w:szCs w:val="20"/>
              </w:rPr>
              <w:t xml:space="preserve">Corrupt conduct;</w:t>
            </w:r>
          </w:p>
          <w:p>
            <w:pPr>
              <w:pStyle w:val="ListParagraph"/>
              <w:numPr>
                <w:ilvl w:val="0"/>
                <w:numId w:val="15"/>
              </w:numPr>
              <w:spacing w:before="20" w:after="40" w:line="240" w:lineRule="auto"/>
              <w:ind w:left="284" w:hanging="284"/>
              <w:contextualSpacing w:val="0"/>
              <w:jc w:val="left"/>
            </w:pPr>
            <w:r>
              <w:rPr>
                <w:sz w:val="20"/>
                <w:szCs w:val="20"/>
              </w:rPr>
              <w:t xml:space="preserve">conduct that constitutes a criminal offence or serious professional misconduct;</w:t>
            </w:r>
          </w:p>
          <w:p>
            <w:pPr>
              <w:pStyle w:val="ListParagraph"/>
              <w:numPr>
                <w:ilvl w:val="0"/>
                <w:numId w:val="15"/>
              </w:numPr>
              <w:spacing w:before="20" w:after="40" w:line="240" w:lineRule="auto"/>
              <w:ind w:left="284" w:hanging="284"/>
              <w:contextualSpacing w:val="0"/>
              <w:jc w:val="left"/>
            </w:pPr>
            <w:r>
              <w:rPr>
                <w:sz w:val="20"/>
                <w:szCs w:val="20"/>
              </w:rPr>
              <w:t xml:space="preserve">dishonest performance of public functions;</w:t>
            </w:r>
          </w:p>
          <w:p>
            <w:pPr>
              <w:pStyle w:val="ListParagraph"/>
              <w:numPr>
                <w:ilvl w:val="0"/>
                <w:numId w:val="15"/>
              </w:numPr>
              <w:spacing w:before="20" w:after="40" w:line="240" w:lineRule="auto"/>
              <w:ind w:left="284" w:hanging="284"/>
              <w:contextualSpacing w:val="0"/>
              <w:jc w:val="left"/>
            </w:pPr>
            <w:r>
              <w:rPr>
                <w:sz w:val="20"/>
                <w:szCs w:val="20"/>
              </w:rPr>
              <w:t xml:space="preserve">an intentional or reckless breach of public trust;</w:t>
            </w:r>
          </w:p>
          <w:p>
            <w:pPr>
              <w:pStyle w:val="ListParagraph"/>
              <w:numPr>
                <w:ilvl w:val="0"/>
                <w:numId w:val="15"/>
              </w:numPr>
              <w:spacing w:before="20" w:after="40" w:line="240" w:lineRule="auto"/>
              <w:ind w:left="284" w:hanging="284"/>
              <w:contextualSpacing w:val="0"/>
              <w:jc w:val="left"/>
            </w:pPr>
            <w:r>
              <w:rPr>
                <w:sz w:val="20"/>
                <w:szCs w:val="20"/>
              </w:rPr>
              <w:t xml:space="preserve">an intentional or reckless misuse of information or material acquired in the course of the performance of the functions of the public officer or public body;</w:t>
            </w:r>
          </w:p>
          <w:p>
            <w:pPr>
              <w:pStyle w:val="ListParagraph"/>
              <w:numPr>
                <w:ilvl w:val="0"/>
                <w:numId w:val="15"/>
              </w:numPr>
              <w:spacing w:before="20" w:after="40" w:line="240" w:lineRule="auto"/>
              <w:ind w:left="284" w:hanging="284"/>
              <w:contextualSpacing w:val="0"/>
              <w:jc w:val="left"/>
            </w:pPr>
            <w:r>
              <w:rPr>
                <w:sz w:val="20"/>
                <w:szCs w:val="20"/>
              </w:rPr>
              <w:t xml:space="preserve">a substantial mismanagement of public resources;</w:t>
            </w:r>
          </w:p>
          <w:p>
            <w:pPr>
              <w:pStyle w:val="ListParagraph"/>
              <w:numPr>
                <w:ilvl w:val="0"/>
                <w:numId w:val="15"/>
              </w:numPr>
              <w:spacing w:before="20" w:after="40" w:line="240" w:lineRule="auto"/>
              <w:ind w:left="284" w:hanging="284"/>
              <w:contextualSpacing w:val="0"/>
              <w:jc w:val="left"/>
            </w:pPr>
            <w:r>
              <w:rPr>
                <w:sz w:val="20"/>
                <w:szCs w:val="20"/>
              </w:rPr>
              <w:t xml:space="preserve">a substantial risk to the health or safety of one or more persons;</w:t>
            </w:r>
          </w:p>
          <w:p>
            <w:pPr>
              <w:pStyle w:val="ListParagraph"/>
              <w:numPr>
                <w:ilvl w:val="0"/>
                <w:numId w:val="15"/>
              </w:numPr>
              <w:spacing w:before="20" w:after="40" w:line="240" w:lineRule="auto"/>
              <w:ind w:left="284" w:hanging="284"/>
              <w:contextualSpacing w:val="0"/>
              <w:jc w:val="left"/>
            </w:pPr>
            <w:r>
              <w:rPr>
                <w:sz w:val="20"/>
                <w:szCs w:val="20"/>
              </w:rPr>
              <w:t xml:space="preserve">a substantial risk to the environment;</w:t>
            </w:r>
          </w:p>
          <w:p>
            <w:pPr>
              <w:pStyle w:val="ListParagraph"/>
              <w:numPr>
                <w:ilvl w:val="0"/>
                <w:numId w:val="15"/>
              </w:numPr>
              <w:spacing w:before="20" w:after="40" w:line="240" w:lineRule="auto"/>
              <w:ind w:left="284" w:hanging="284"/>
              <w:contextualSpacing w:val="0"/>
              <w:jc w:val="left"/>
            </w:pPr>
            <w:r>
              <w:rPr>
                <w:sz w:val="20"/>
                <w:szCs w:val="20"/>
              </w:rPr>
              <w:t xml:space="preserve">conduct that adversely affects the honest performance by a public officer or public body of their functions as a public officer or public body;</w:t>
            </w:r>
          </w:p>
          <w:p>
            <w:pPr>
              <w:pStyle w:val="ListParagraph"/>
              <w:numPr>
                <w:ilvl w:val="0"/>
                <w:numId w:val="15"/>
              </w:numPr>
              <w:spacing w:before="20" w:after="40" w:line="240" w:lineRule="auto"/>
              <w:ind w:left="284" w:hanging="284"/>
              <w:contextualSpacing w:val="0"/>
              <w:jc w:val="left"/>
            </w:pPr>
            <w:r>
              <w:rPr>
                <w:sz w:val="20"/>
                <w:szCs w:val="20"/>
              </w:rPr>
              <w:t xml:space="preserve">conduct that intends to affect the functions or powers of the public officer or body adversely</w:t>
            </w:r>
            <w:r>
              <w:rPr>
                <w:sz w:val="20"/>
                <w:szCs w:val="20"/>
              </w:rPr>
              <w:br/>
              <w:t xml:space="preserve">and results in the person or body obtaining:</w:t>
            </w:r>
            <w:r>
              <w:rPr>
                <w:sz w:val="20"/>
                <w:szCs w:val="20"/>
              </w:rPr>
              <w:br/>
              <w:t xml:space="preserve">i) A licence, permit, approval, authority or other statutory entitlement;</w:t>
            </w:r>
            <w:r>
              <w:rPr>
                <w:sz w:val="20"/>
                <w:szCs w:val="20"/>
              </w:rPr>
              <w:br/>
              <w:t xml:space="preserve">ii) An appointment to a statutory office or a board of a public body;</w:t>
            </w:r>
            <w:r>
              <w:rPr>
                <w:sz w:val="20"/>
                <w:szCs w:val="20"/>
              </w:rPr>
              <w:br/>
              <w:t xml:space="preserve">iii) A financial benefit or real or personal property; or</w:t>
            </w:r>
            <w:r>
              <w:rPr>
                <w:sz w:val="20"/>
                <w:szCs w:val="20"/>
              </w:rPr>
              <w:br/>
              <w:t xml:space="preserve">iv) Any other direct or indirect monetary or proprietary gain;</w:t>
            </w:r>
          </w:p>
          <w:p>
            <w:pPr>
              <w:pStyle w:val="ListParagraph"/>
              <w:numPr>
                <w:ilvl w:val="0"/>
                <w:numId w:val="15"/>
              </w:numPr>
              <w:spacing w:before="20" w:after="40" w:line="240" w:lineRule="auto"/>
              <w:ind w:left="284" w:hanging="284"/>
              <w:contextualSpacing w:val="0"/>
              <w:jc w:val="left"/>
            </w:pPr>
            <w:r>
              <w:rPr>
                <w:sz w:val="20"/>
                <w:szCs w:val="20"/>
              </w:rPr>
              <w:t xml:space="preserve">conduct that could constitute a conspiracy or an attempted conspiracy.</w:t>
            </w:r>
          </w:p>
          <w:p>
            <w:pPr>
              <w:spacing w:before="40" w:after="40" w:line="252" w:lineRule="auto"/>
            </w:pPr>
            <w:r>
              <w:rPr>
                <w:sz w:val="20"/>
                <w:szCs w:val="20"/>
              </w:rPr>
              <w:t xml:space="preserve">The definition excludes matters that are 'trivial'.</w:t>
            </w:r>
          </w:p>
        </w:tc>
        <w:tc>
          <w:tcPr>
            <w:tcW w:w="1800" w:type="dxa"/>
          </w:tcPr>
          <w:p>
            <w:pPr>
              <w:spacing w:before="40" w:after="40" w:line="252" w:lineRule="auto"/>
            </w:pPr>
            <w:r>
              <w:rPr>
                <w:sz w:val="20"/>
                <w:szCs w:val="20"/>
              </w:rPr>
              <w:t xml:space="preserve">Does the information provided show or tend to show there is actual or potential improper conduct?</w:t>
            </w:r>
          </w:p>
          <w:p>
            <w:pPr>
              <w:spacing w:before="40" w:after="40" w:line="252" w:lineRule="auto"/>
            </w:pPr>
            <w:r>
              <w:rPr>
                <w:sz w:val="20"/>
                <w:szCs w:val="20"/>
              </w:rPr>
              <w:t xml:space="preserve">OR</w:t>
            </w:r>
          </w:p>
          <w:p>
            <w:pPr>
              <w:spacing w:before="40" w:after="40" w:line="252" w:lineRule="auto"/>
            </w:pPr>
            <w:r>
              <w:rPr>
                <w:sz w:val="20"/>
                <w:szCs w:val="20"/>
              </w:rPr>
              <w:t xml:space="preserve">Does the discloser believe on reasonable grounds that actual or potential improper conduct has occurred?</w:t>
            </w:r>
          </w:p>
        </w:tc>
        <w:tc>
          <w:tcPr>
            <w:tcW w:w="2526" w:type="dxa"/>
          </w:tcPr>
          <w:p>
            <w:pPr>
              <w:pStyle w:val="ListParagraph"/>
              <w:numPr>
                <w:ilvl w:val="0"/>
                <w:numId w:val="15"/>
              </w:numPr>
              <w:spacing w:before="20" w:after="40" w:line="240" w:lineRule="auto"/>
              <w:ind w:left="284" w:hanging="284"/>
              <w:contextualSpacing w:val="0"/>
              <w:jc w:val="left"/>
            </w:pPr>
            <w:r>
              <w:rPr>
                <w:sz w:val="20"/>
                <w:szCs w:val="20"/>
              </w:rPr>
              <w:t xml:space="preserve">Bribery, kickbacks or gifts offered/accepted to influence decisions</w:t>
            </w:r>
          </w:p>
          <w:p>
            <w:pPr>
              <w:pStyle w:val="ListParagraph"/>
              <w:numPr>
                <w:ilvl w:val="0"/>
                <w:numId w:val="15"/>
              </w:numPr>
              <w:spacing w:before="20" w:after="40" w:line="240" w:lineRule="auto"/>
              <w:ind w:left="284" w:hanging="284"/>
              <w:contextualSpacing w:val="0"/>
              <w:jc w:val="left"/>
            </w:pPr>
            <w:r>
              <w:rPr>
                <w:sz w:val="20"/>
                <w:szCs w:val="20"/>
              </w:rPr>
              <w:t xml:space="preserve">Steering tenders to favoured suppliers; bid-rigging or collusion</w:t>
            </w:r>
          </w:p>
          <w:p>
            <w:pPr>
              <w:pStyle w:val="ListParagraph"/>
              <w:numPr>
                <w:ilvl w:val="0"/>
                <w:numId w:val="15"/>
              </w:numPr>
              <w:spacing w:before="20" w:after="40" w:line="240" w:lineRule="auto"/>
              <w:ind w:left="284" w:hanging="284"/>
              <w:contextualSpacing w:val="0"/>
              <w:jc w:val="left"/>
            </w:pPr>
            <w:r>
              <w:rPr>
                <w:sz w:val="20"/>
                <w:szCs w:val="20"/>
              </w:rPr>
              <w:t xml:space="preserve">Awarding contracts or business to friends, family or associates</w:t>
            </w:r>
          </w:p>
          <w:p>
            <w:pPr>
              <w:pStyle w:val="ListParagraph"/>
              <w:numPr>
                <w:ilvl w:val="0"/>
                <w:numId w:val="15"/>
              </w:numPr>
              <w:spacing w:before="20" w:after="40" w:line="240" w:lineRule="auto"/>
              <w:ind w:left="284" w:hanging="284"/>
              <w:contextualSpacing w:val="0"/>
              <w:jc w:val="left"/>
            </w:pPr>
            <w:r>
              <w:rPr>
                <w:sz w:val="20"/>
                <w:szCs w:val="20"/>
              </w:rPr>
              <w:t xml:space="preserve">Falsifying financial records, timesheets or approvals to circumvent controls</w:t>
            </w:r>
          </w:p>
        </w:tc>
      </w:tr>
      <w:tr>
        <w:tc>
          <w:tcPr>
            <w:tcW w:w="1300" w:type="dxa"/>
          </w:tcPr>
          <w:p>
            <w:pPr>
              <w:spacing w:before="40" w:after="40" w:line="252" w:lineRule="auto"/>
            </w:pPr>
            <w:r>
              <w:rPr>
                <w:sz w:val="20"/>
                <w:szCs w:val="20"/>
              </w:rPr>
              <w:t xml:space="preserve">Corrupt conduct</w:t>
            </w:r>
            <w:r>
              <w:rPr>
                <w:rStyle w:val="FootnoteReference"/>
              </w:rPr>
              <w:footnoteReference w:id="3"/>
            </w:r>
          </w:p>
        </w:tc>
        <w:tc>
          <w:tcPr>
            <w:tcW w:w="3400" w:type="dxa"/>
          </w:tcPr>
          <w:p>
            <w:pPr>
              <w:spacing w:before="40" w:after="40" w:line="252" w:lineRule="auto"/>
            </w:pPr>
            <w:r>
              <w:rPr>
                <w:sz w:val="20"/>
                <w:szCs w:val="20"/>
              </w:rPr>
              <w:t xml:space="preserve">Conduct:</w:t>
            </w:r>
          </w:p>
          <w:p>
            <w:pPr>
              <w:pStyle w:val="ListParagraph"/>
              <w:numPr>
                <w:ilvl w:val="0"/>
                <w:numId w:val="15"/>
              </w:numPr>
              <w:spacing w:before="20" w:after="40" w:line="240" w:lineRule="auto"/>
              <w:ind w:left="284" w:hanging="284"/>
              <w:contextualSpacing w:val="0"/>
              <w:jc w:val="left"/>
            </w:pPr>
            <w:r>
              <w:rPr>
                <w:sz w:val="20"/>
                <w:szCs w:val="20"/>
              </w:rPr>
              <w:t xml:space="preserve">of any person that adversely affects the honest performance by a public officer or public body of his or her or its functions as a public officer or public body; or</w:t>
            </w:r>
          </w:p>
          <w:p>
            <w:pPr>
              <w:pStyle w:val="ListParagraph"/>
              <w:numPr>
                <w:ilvl w:val="0"/>
                <w:numId w:val="15"/>
              </w:numPr>
              <w:spacing w:before="20" w:after="40" w:line="240" w:lineRule="auto"/>
              <w:ind w:left="284" w:hanging="284"/>
              <w:contextualSpacing w:val="0"/>
              <w:jc w:val="left"/>
            </w:pPr>
            <w:r>
              <w:rPr>
                <w:sz w:val="20"/>
                <w:szCs w:val="20"/>
              </w:rPr>
              <w:t xml:space="preserve">of a public officer or public body that constitutes or involves the dishonest performance of his or her or its functions as a public officer or public body; or</w:t>
            </w:r>
          </w:p>
          <w:p>
            <w:pPr>
              <w:pStyle w:val="ListParagraph"/>
              <w:numPr>
                <w:ilvl w:val="0"/>
                <w:numId w:val="15"/>
              </w:numPr>
              <w:spacing w:before="20" w:after="40" w:line="240" w:lineRule="auto"/>
              <w:ind w:left="284" w:hanging="284"/>
              <w:contextualSpacing w:val="0"/>
              <w:jc w:val="left"/>
            </w:pPr>
            <w:r>
              <w:rPr>
                <w:sz w:val="20"/>
                <w:szCs w:val="20"/>
              </w:rPr>
              <w:t xml:space="preserve">of a public officer or public body that constitutes or involves knowingly or recklessly breaching public trust; or</w:t>
            </w:r>
          </w:p>
          <w:p>
            <w:pPr>
              <w:pStyle w:val="ListParagraph"/>
              <w:numPr>
                <w:ilvl w:val="0"/>
                <w:numId w:val="15"/>
              </w:numPr>
              <w:spacing w:before="20" w:after="40" w:line="240" w:lineRule="auto"/>
              <w:ind w:left="284" w:hanging="284"/>
              <w:contextualSpacing w:val="0"/>
              <w:jc w:val="left"/>
            </w:pPr>
            <w:r>
              <w:rPr>
                <w:sz w:val="20"/>
                <w:szCs w:val="20"/>
              </w:rPr>
              <w:t xml:space="preserve">of a public officer or a public body that involves the misuse of information or material acquired in the course of the performance of his or her or its functions as a public officer or public body, whether or not for the benefit of the public officer or public body or any other person.</w:t>
            </w:r>
          </w:p>
        </w:tc>
        <w:tc>
          <w:tcPr>
            <w:tcW w:w="1800" w:type="dxa"/>
          </w:tcPr>
          <w:p>
            <w:pPr>
              <w:spacing w:before="40" w:after="40" w:line="252" w:lineRule="auto"/>
            </w:pPr>
            <w:r>
              <w:rPr>
                <w:sz w:val="20"/>
                <w:szCs w:val="20"/>
              </w:rPr>
              <w:t xml:space="preserve">As above.</w:t>
            </w:r>
          </w:p>
        </w:tc>
        <w:tc>
          <w:tcPr>
            <w:tcW w:w="2526" w:type="dxa"/>
          </w:tcPr>
          <w:p>
            <w:pPr>
              <w:spacing w:before="40" w:after="40" w:line="252" w:lineRule="auto"/>
            </w:pPr>
            <w:r>
              <w:rPr>
                <w:sz w:val="20"/>
                <w:szCs w:val="20"/>
              </w:rPr>
              <w:t xml:space="preserve">As above.</w:t>
            </w:r>
          </w:p>
        </w:tc>
      </w:tr>
      <w:tr>
        <w:tc>
          <w:tcPr>
            <w:tcW w:w="1300" w:type="dxa"/>
          </w:tcPr>
          <w:p>
            <w:pPr>
              <w:spacing w:before="40" w:after="40" w:line="252" w:lineRule="auto"/>
            </w:pPr>
            <w:r>
              <w:rPr>
                <w:sz w:val="20"/>
                <w:szCs w:val="20"/>
              </w:rPr>
              <w:t xml:space="preserve">Detrimental action</w:t>
            </w:r>
            <w:r>
              <w:rPr>
                <w:rStyle w:val="FootnoteReference"/>
              </w:rPr>
              <w:footnoteReference w:id="4"/>
            </w:r>
          </w:p>
        </w:tc>
        <w:tc>
          <w:tcPr>
            <w:tcW w:w="3400" w:type="dxa"/>
          </w:tcPr>
          <w:p>
            <w:pPr>
              <w:spacing w:before="40" w:after="40" w:line="252" w:lineRule="auto"/>
            </w:pPr>
            <w:r>
              <w:rPr>
                <w:sz w:val="20"/>
                <w:szCs w:val="20"/>
              </w:rPr>
              <w:t xml:space="preserve">Action which includes:</w:t>
            </w:r>
          </w:p>
          <w:p>
            <w:pPr>
              <w:pStyle w:val="ListParagraph"/>
              <w:numPr>
                <w:ilvl w:val="0"/>
                <w:numId w:val="15"/>
              </w:numPr>
              <w:spacing w:before="20" w:after="40" w:line="240" w:lineRule="auto"/>
              <w:ind w:left="284" w:hanging="284"/>
              <w:contextualSpacing w:val="0"/>
              <w:jc w:val="left"/>
            </w:pPr>
            <w:r>
              <w:rPr>
                <w:sz w:val="20"/>
                <w:szCs w:val="20"/>
              </w:rPr>
              <w:t xml:space="preserve">action causing injury, loss or damage;</w:t>
            </w:r>
          </w:p>
          <w:p>
            <w:pPr>
              <w:pStyle w:val="ListParagraph"/>
              <w:numPr>
                <w:ilvl w:val="0"/>
                <w:numId w:val="15"/>
              </w:numPr>
              <w:spacing w:before="20" w:after="40" w:line="240" w:lineRule="auto"/>
              <w:ind w:left="284" w:hanging="284"/>
              <w:contextualSpacing w:val="0"/>
              <w:jc w:val="left"/>
            </w:pPr>
            <w:r>
              <w:rPr>
                <w:sz w:val="20"/>
                <w:szCs w:val="20"/>
              </w:rPr>
              <w:t xml:space="preserve">intimidation or harassment;</w:t>
            </w:r>
          </w:p>
          <w:p>
            <w:pPr>
              <w:pStyle w:val="ListParagraph"/>
              <w:numPr>
                <w:ilvl w:val="0"/>
                <w:numId w:val="15"/>
              </w:numPr>
              <w:spacing w:before="20" w:after="40" w:line="240" w:lineRule="auto"/>
              <w:ind w:left="284" w:hanging="284"/>
              <w:contextualSpacing w:val="0"/>
              <w:jc w:val="left"/>
            </w:pPr>
            <w:r>
              <w:rPr>
                <w:sz w:val="20"/>
                <w:szCs w:val="20"/>
              </w:rPr>
              <w:t xml:space="preserve">discrimination, disadvantage or adverse treatment in relation to a person's employment, career, profession, trade or business, including the taking of disciplinary action,</w:t>
            </w:r>
          </w:p>
          <w:p>
            <w:pPr>
              <w:spacing w:before="40" w:after="40" w:line="252" w:lineRule="auto"/>
            </w:pPr>
            <w:r>
              <w:rPr>
                <w:sz w:val="20"/>
                <w:szCs w:val="20"/>
              </w:rPr>
              <w:t xml:space="preserve">in connection with the making of a PID.</w:t>
            </w:r>
          </w:p>
        </w:tc>
        <w:tc>
          <w:tcPr>
            <w:tcW w:w="1800" w:type="dxa"/>
          </w:tcPr>
          <w:p>
            <w:pPr>
              <w:spacing w:before="40" w:after="40" w:line="252" w:lineRule="auto"/>
            </w:pPr>
            <w:r>
              <w:rPr>
                <w:sz w:val="20"/>
                <w:szCs w:val="20"/>
              </w:rPr>
              <w:t xml:space="preserve">Does the information provided show or tend to show there is actual or potential detrimental action?</w:t>
            </w:r>
          </w:p>
          <w:p>
            <w:pPr>
              <w:spacing w:before="40" w:after="40" w:line="252" w:lineRule="auto"/>
            </w:pPr>
            <w:r>
              <w:rPr>
                <w:sz w:val="20"/>
                <w:szCs w:val="20"/>
              </w:rPr>
              <w:t xml:space="preserve">OR</w:t>
            </w:r>
          </w:p>
          <w:p>
            <w:pPr>
              <w:spacing w:before="40" w:after="40" w:line="252" w:lineRule="auto"/>
            </w:pPr>
            <w:r>
              <w:rPr>
                <w:sz w:val="20"/>
                <w:szCs w:val="20"/>
              </w:rPr>
              <w:t xml:space="preserve">Does the discloser believe on reasonable grounds that actual or potential detrimental action has occurred?</w:t>
            </w:r>
          </w:p>
        </w:tc>
        <w:tc>
          <w:tcPr>
            <w:tcW w:w="2526" w:type="dxa"/>
          </w:tcPr>
          <w:p>
            <w:pPr>
              <w:pStyle w:val="ListParagraph"/>
              <w:numPr>
                <w:ilvl w:val="0"/>
                <w:numId w:val="15"/>
              </w:numPr>
              <w:spacing w:before="20" w:after="40" w:line="240" w:lineRule="auto"/>
              <w:ind w:left="284" w:hanging="284"/>
              <w:contextualSpacing w:val="0"/>
              <w:jc w:val="left"/>
            </w:pPr>
            <w:r>
              <w:rPr>
                <w:sz w:val="20"/>
                <w:szCs w:val="20"/>
              </w:rPr>
              <w:t xml:space="preserve">Victimising conduct</w:t>
            </w:r>
          </w:p>
          <w:p>
            <w:pPr>
              <w:pStyle w:val="ListParagraph"/>
              <w:numPr>
                <w:ilvl w:val="0"/>
                <w:numId w:val="15"/>
              </w:numPr>
              <w:spacing w:before="20" w:after="40" w:line="240" w:lineRule="auto"/>
              <w:ind w:left="284" w:hanging="284"/>
              <w:contextualSpacing w:val="0"/>
              <w:jc w:val="left"/>
            </w:pPr>
            <w:r>
              <w:rPr>
                <w:sz w:val="20"/>
                <w:szCs w:val="20"/>
              </w:rPr>
              <w:t xml:space="preserve">Bullying conduct</w:t>
            </w:r>
          </w:p>
          <w:p>
            <w:pPr>
              <w:pStyle w:val="ListParagraph"/>
              <w:numPr>
                <w:ilvl w:val="0"/>
                <w:numId w:val="15"/>
              </w:numPr>
              <w:spacing w:before="20" w:after="40" w:line="240" w:lineRule="auto"/>
              <w:ind w:left="284" w:hanging="284"/>
              <w:contextualSpacing w:val="0"/>
              <w:jc w:val="left"/>
            </w:pPr>
            <w:r>
              <w:rPr>
                <w:sz w:val="20"/>
                <w:szCs w:val="20"/>
              </w:rPr>
              <w:t xml:space="preserve">Threatening conduct</w:t>
            </w:r>
          </w:p>
        </w:tc>
      </w:tr>
      <w:tr>
        <w:tc>
          <w:tcPr>
            <w:tcW w:w="1300" w:type="dxa"/>
          </w:tcPr>
          <w:p>
            <w:pPr>
              <w:spacing w:before="40" w:after="40" w:line="252" w:lineRule="auto"/>
            </w:pPr>
            <w:r>
              <w:rPr>
                <w:sz w:val="20"/>
                <w:szCs w:val="20"/>
              </w:rPr>
              <w:t xml:space="preserve">Public Interest Disclosure (</w:t>
            </w:r>
            <w:r>
              <w:rPr>
                <w:b/>
                <w:bCs/>
                <w:sz w:val="20"/>
                <w:szCs w:val="20"/>
              </w:rPr>
              <w:t xml:space="preserve">PID</w:t>
            </w:r>
            <w:r>
              <w:rPr>
                <w:sz w:val="20"/>
                <w:szCs w:val="20"/>
              </w:rPr>
              <w:t xml:space="preserve">)</w:t>
            </w:r>
          </w:p>
        </w:tc>
        <w:tc>
          <w:tcPr>
            <w:tcW w:w="3400" w:type="dxa"/>
          </w:tcPr>
          <w:p>
            <w:pPr>
              <w:spacing w:before="40" w:after="40" w:line="252" w:lineRule="auto"/>
            </w:pPr>
            <w:r>
              <w:rPr>
                <w:sz w:val="20"/>
                <w:szCs w:val="20"/>
              </w:rPr>
              <w:t xml:space="preserve">Previously known as 'whistleblowing,' a report made regarding improper conduct or relevant detrimental action by a public officer or body.</w:t>
            </w:r>
          </w:p>
        </w:tc>
        <w:tc>
          <w:tcPr>
            <w:tcW w:w="1800" w:type="dxa"/>
          </w:tcPr>
          <w:p>
            <w:pPr>
              <w:spacing w:before="40" w:after="40" w:line="252" w:lineRule="auto"/>
            </w:pPr>
            <w:r>
              <w:rPr>
                <w:sz w:val="20"/>
                <w:szCs w:val="20"/>
              </w:rPr>
              <w:t xml:space="preserve">Does the disclosure allege improper conduct (as defined above) or detrimental action (reprisals) linked to the disclosure?</w:t>
            </w:r>
          </w:p>
        </w:tc>
        <w:tc>
          <w:tcPr>
            <w:tcW w:w="2526" w:type="dxa"/>
          </w:tcPr>
          <w:p>
            <w:pPr>
              <w:pStyle w:val="ListParagraph"/>
              <w:numPr>
                <w:ilvl w:val="0"/>
                <w:numId w:val="15"/>
              </w:numPr>
              <w:spacing w:before="20" w:after="40" w:line="240" w:lineRule="auto"/>
              <w:ind w:left="284" w:hanging="284"/>
              <w:contextualSpacing w:val="0"/>
              <w:jc w:val="left"/>
            </w:pPr>
            <w:r>
              <w:rPr>
                <w:sz w:val="20"/>
                <w:szCs w:val="20"/>
              </w:rPr>
              <w:t xml:space="preserve">Reporting systemic misuse of purchasing cards or deliberate over-billing</w:t>
            </w:r>
          </w:p>
          <w:p>
            <w:pPr>
              <w:pStyle w:val="ListParagraph"/>
              <w:numPr>
                <w:ilvl w:val="0"/>
                <w:numId w:val="15"/>
              </w:numPr>
              <w:spacing w:before="20" w:after="40" w:line="240" w:lineRule="auto"/>
              <w:ind w:left="284" w:hanging="284"/>
              <w:contextualSpacing w:val="0"/>
              <w:jc w:val="left"/>
            </w:pPr>
            <w:r>
              <w:rPr>
                <w:sz w:val="20"/>
                <w:szCs w:val="20"/>
              </w:rPr>
              <w:t xml:space="preserve">Disclosing that records are being destroyed or altered to mislead investigators</w:t>
            </w:r>
          </w:p>
          <w:p>
            <w:pPr>
              <w:pStyle w:val="ListParagraph"/>
              <w:numPr>
                <w:ilvl w:val="0"/>
                <w:numId w:val="15"/>
              </w:numPr>
              <w:spacing w:before="20" w:after="40" w:line="240" w:lineRule="auto"/>
              <w:ind w:left="284" w:hanging="284"/>
              <w:contextualSpacing w:val="0"/>
              <w:jc w:val="left"/>
            </w:pPr>
            <w:r>
              <w:rPr>
                <w:sz w:val="20"/>
                <w:szCs w:val="20"/>
              </w:rPr>
              <w:t xml:space="preserve">Alleging managers instructed staff to ignore safety, planning or regulatory obligations</w:t>
            </w:r>
          </w:p>
          <w:p>
            <w:pPr>
              <w:pStyle w:val="ListParagraph"/>
              <w:numPr>
                <w:ilvl w:val="0"/>
                <w:numId w:val="15"/>
              </w:numPr>
              <w:spacing w:before="20" w:after="40" w:line="240" w:lineRule="auto"/>
              <w:ind w:left="284" w:hanging="284"/>
              <w:contextualSpacing w:val="0"/>
              <w:jc w:val="left"/>
            </w:pPr>
            <w:r>
              <w:rPr>
                <w:sz w:val="20"/>
                <w:szCs w:val="20"/>
              </w:rPr>
              <w:t xml:space="preserve">Detrimental action: victimisation, discrimination, demotion, threats, isolation or roster changes due to raising concerns</w:t>
            </w:r>
          </w:p>
        </w:tc>
      </w:tr>
      <w:tr>
        <w:tc>
          <w:tcPr>
            <w:tcW w:w="1300" w:type="dxa"/>
          </w:tcPr>
          <w:p>
            <w:pPr>
              <w:spacing w:before="40" w:after="40" w:line="252" w:lineRule="auto"/>
            </w:pPr>
            <w:r>
              <w:rPr>
                <w:sz w:val="20"/>
                <w:szCs w:val="20"/>
              </w:rPr>
              <w:t xml:space="preserve">HR Complaint</w:t>
            </w:r>
          </w:p>
        </w:tc>
        <w:tc>
          <w:tcPr>
            <w:tcW w:w="3400" w:type="dxa"/>
          </w:tcPr>
          <w:p>
            <w:pPr>
              <w:spacing w:before="40" w:after="40" w:line="252" w:lineRule="auto"/>
            </w:pPr>
            <w:r>
              <w:rPr>
                <w:sz w:val="20"/>
                <w:szCs w:val="20"/>
              </w:rPr>
              <w:t xml:space="preserve">Workplace behaviour, performance or employment issues that do not meet the thresholds for corrupt or improper conduct.</w:t>
            </w:r>
          </w:p>
        </w:tc>
        <w:tc>
          <w:tcPr>
            <w:tcW w:w="1800" w:type="dxa"/>
          </w:tcPr>
          <w:p>
            <w:pPr>
              <w:spacing w:before="40" w:after="40" w:line="252" w:lineRule="auto"/>
            </w:pPr>
            <w:r>
              <w:rPr>
                <w:sz w:val="20"/>
                <w:szCs w:val="20"/>
              </w:rPr>
              <w:t xml:space="preserve">Is the issue primarily about workplace behaviour/​performance and not about deceit, misuse of position or personal gain?</w:t>
            </w:r>
          </w:p>
        </w:tc>
        <w:tc>
          <w:tcPr>
            <w:tcW w:w="2526" w:type="dxa"/>
          </w:tcPr>
          <w:p>
            <w:pPr>
              <w:pStyle w:val="ListParagraph"/>
              <w:numPr>
                <w:ilvl w:val="0"/>
                <w:numId w:val="15"/>
              </w:numPr>
              <w:spacing w:before="20" w:after="40" w:line="240" w:lineRule="auto"/>
              <w:ind w:left="284" w:hanging="284"/>
              <w:contextualSpacing w:val="0"/>
              <w:jc w:val="left"/>
            </w:pPr>
            <w:r>
              <w:rPr>
                <w:sz w:val="20"/>
                <w:szCs w:val="20"/>
              </w:rPr>
              <w:t xml:space="preserve">Interpersonal conflict or incivility not tied to a protected disclosure</w:t>
            </w:r>
          </w:p>
          <w:p>
            <w:pPr>
              <w:pStyle w:val="ListParagraph"/>
              <w:numPr>
                <w:ilvl w:val="0"/>
                <w:numId w:val="15"/>
              </w:numPr>
              <w:spacing w:before="20" w:after="40" w:line="240" w:lineRule="auto"/>
              <w:ind w:left="284" w:hanging="284"/>
              <w:contextualSpacing w:val="0"/>
              <w:jc w:val="left"/>
            </w:pPr>
            <w:r>
              <w:rPr>
                <w:sz w:val="20"/>
                <w:szCs w:val="20"/>
              </w:rPr>
              <w:t xml:space="preserve">Performance management disputes or feedback style concerns</w:t>
            </w:r>
          </w:p>
          <w:p>
            <w:pPr>
              <w:pStyle w:val="ListParagraph"/>
              <w:numPr>
                <w:ilvl w:val="0"/>
                <w:numId w:val="15"/>
              </w:numPr>
              <w:spacing w:before="20" w:after="40" w:line="240" w:lineRule="auto"/>
              <w:ind w:left="284" w:hanging="284"/>
              <w:contextualSpacing w:val="0"/>
              <w:jc w:val="left"/>
            </w:pPr>
            <w:r>
              <w:rPr>
                <w:sz w:val="20"/>
                <w:szCs w:val="20"/>
              </w:rPr>
              <w:t xml:space="preserve">Policy breaches: inappropriate language, minor misuse of email or social media</w:t>
            </w:r>
          </w:p>
          <w:p>
            <w:pPr>
              <w:pStyle w:val="ListParagraph"/>
              <w:numPr>
                <w:ilvl w:val="0"/>
                <w:numId w:val="15"/>
              </w:numPr>
              <w:spacing w:before="20" w:after="40" w:line="240" w:lineRule="auto"/>
              <w:ind w:left="284" w:hanging="284"/>
              <w:contextualSpacing w:val="0"/>
              <w:jc w:val="left"/>
            </w:pPr>
            <w:r>
              <w:rPr>
                <w:sz w:val="20"/>
                <w:szCs w:val="20"/>
              </w:rPr>
              <w:t xml:space="preserve">Attendance, punctuality or supervision issues without evidence of fraud</w:t>
            </w:r>
          </w:p>
        </w:tc>
      </w:tr>
    </w:tbl>
    <w:p>
      <w:pPr>
        <w:pStyle w:val="Heading1"/>
      </w:pPr>
      <w:bookmarkStart w:id="9105" w:name="_Toc91000005"/>
      <w:r>
        <w:t xml:space="preserve">Roles and Responsibilities</w:t>
      </w:r>
      <w:bookmarkEnd w:id="9105"/>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1750"/>
        <w:gridCol w:w="2100"/>
        <w:gridCol w:w="2976"/>
        <w:gridCol w:w="2200"/>
      </w:tblGrid>
      <w:tr>
        <w:trPr>
          <w:cantSplit/>
          <w:tblHeader/>
        </w:trPr>
        <w:tc>
          <w:tcPr>
            <w:tcW w:w="1750" w:type="dxa"/>
            <w:shd w:val="clear" w:color="auto" w:fill="F68B1F"/>
          </w:tcPr>
          <w:p>
            <w:pPr>
              <w:keepNext/>
              <w:spacing w:before="40" w:after="40" w:line="252" w:lineRule="auto"/>
            </w:pPr>
            <w:r>
              <w:rPr>
                <w:b/>
                <w:bCs/>
                <w:color w:val="FFFFFF"/>
                <w:sz w:val="20"/>
                <w:szCs w:val="20"/>
              </w:rPr>
              <w:t xml:space="preserve">Role</w:t>
            </w:r>
          </w:p>
        </w:tc>
        <w:tc>
          <w:tcPr>
            <w:tcW w:w="2100" w:type="dxa"/>
            <w:shd w:val="clear" w:color="auto" w:fill="F68B1F"/>
          </w:tcPr>
          <w:p>
            <w:pPr>
              <w:keepNext/>
              <w:spacing w:before="40" w:after="40" w:line="252" w:lineRule="auto"/>
            </w:pPr>
            <w:r>
              <w:rPr>
                <w:b/>
                <w:bCs/>
                <w:color w:val="FFFFFF"/>
                <w:sz w:val="20"/>
                <w:szCs w:val="20"/>
              </w:rPr>
              <w:t xml:space="preserve">Function</w:t>
            </w:r>
          </w:p>
        </w:tc>
        <w:tc>
          <w:tcPr>
            <w:tcW w:w="2976" w:type="dxa"/>
            <w:shd w:val="clear" w:color="auto" w:fill="F68B1F"/>
          </w:tcPr>
          <w:p>
            <w:pPr>
              <w:keepNext/>
              <w:spacing w:before="40" w:after="40" w:line="252" w:lineRule="auto"/>
            </w:pPr>
            <w:r>
              <w:rPr>
                <w:b/>
                <w:bCs/>
                <w:color w:val="FFFFFF"/>
                <w:sz w:val="20"/>
                <w:szCs w:val="20"/>
              </w:rPr>
              <w:t xml:space="preserve">Tasks</w:t>
            </w:r>
          </w:p>
        </w:tc>
        <w:tc>
          <w:tcPr>
            <w:tcW w:w="2200" w:type="dxa"/>
            <w:shd w:val="clear" w:color="auto" w:fill="F68B1F"/>
          </w:tcPr>
          <w:p>
            <w:pPr>
              <w:keepNext/>
              <w:spacing w:before="40" w:after="40" w:line="252" w:lineRule="auto"/>
            </w:pPr>
            <w:r>
              <w:rPr>
                <w:b/>
                <w:bCs/>
                <w:color w:val="FFFFFF"/>
                <w:sz w:val="20"/>
                <w:szCs w:val="20"/>
              </w:rPr>
              <w:t xml:space="preserve">Responsible For</w:t>
            </w:r>
          </w:p>
        </w:tc>
      </w:tr>
      <w:tr>
        <w:trPr>
          <w:cantSplit/>
        </w:trPr>
        <w:tc>
          <w:tcPr>
            <w:tcW w:w="1750" w:type="dxa"/>
          </w:tcPr>
          <w:p>
            <w:pPr>
              <w:spacing w:before="40" w:after="40" w:line="252" w:lineRule="auto"/>
            </w:pPr>
            <w:r>
              <w:rPr>
                <w:sz w:val="20"/>
                <w:szCs w:val="20"/>
              </w:rPr>
              <w:t xml:space="preserve">CEO (Relevant Principal Officer)</w:t>
            </w:r>
          </w:p>
        </w:tc>
        <w:tc>
          <w:tcPr>
            <w:tcW w:w="2100" w:type="dxa"/>
          </w:tcPr>
          <w:p>
            <w:pPr>
              <w:spacing w:before="40" w:after="40" w:line="252" w:lineRule="auto"/>
            </w:pPr>
            <w:r>
              <w:rPr>
                <w:sz w:val="20"/>
                <w:szCs w:val="20"/>
              </w:rPr>
              <w:t xml:space="preserve">Provides strategic direction on integrity matters; fulfils mandatory reporting obligations under s 57 of the IBAC Act</w:t>
            </w:r>
          </w:p>
        </w:tc>
        <w:tc>
          <w:tcPr>
            <w:tcW w:w="2976" w:type="dxa"/>
          </w:tcPr>
          <w:p>
            <w:pPr>
              <w:pStyle w:val="ListParagraph"/>
              <w:numPr>
                <w:ilvl w:val="0"/>
                <w:numId w:val="15"/>
              </w:numPr>
              <w:spacing w:before="20" w:after="40" w:line="240" w:lineRule="auto"/>
              <w:ind w:left="284" w:hanging="284"/>
              <w:contextualSpacing w:val="0"/>
              <w:jc w:val="left"/>
            </w:pPr>
            <w:r>
              <w:rPr>
                <w:sz w:val="20"/>
                <w:szCs w:val="20"/>
              </w:rPr>
              <w:t xml:space="preserve">Makes s 57 notifications to IBAC</w:t>
            </w:r>
          </w:p>
          <w:p>
            <w:pPr>
              <w:pStyle w:val="ListParagraph"/>
              <w:numPr>
                <w:ilvl w:val="0"/>
                <w:numId w:val="15"/>
              </w:numPr>
              <w:spacing w:before="20" w:after="40" w:line="240" w:lineRule="auto"/>
              <w:ind w:left="284" w:hanging="284"/>
              <w:contextualSpacing w:val="0"/>
              <w:jc w:val="left"/>
            </w:pPr>
            <w:r>
              <w:rPr>
                <w:sz w:val="20"/>
                <w:szCs w:val="20"/>
              </w:rPr>
              <w:t xml:space="preserve">Must be informed of all integrity matters*</w:t>
            </w:r>
          </w:p>
          <w:p>
            <w:pPr>
              <w:pStyle w:val="ListParagraph"/>
              <w:numPr>
                <w:ilvl w:val="0"/>
                <w:numId w:val="15"/>
              </w:numPr>
              <w:spacing w:before="20" w:after="40" w:line="240" w:lineRule="auto"/>
              <w:ind w:left="284" w:hanging="284"/>
              <w:contextualSpacing w:val="0"/>
              <w:jc w:val="left"/>
            </w:pPr>
            <w:r>
              <w:rPr>
                <w:sz w:val="20"/>
                <w:szCs w:val="20"/>
              </w:rPr>
              <w:t xml:space="preserve">Receives and approves final decisions on integrity actions*</w:t>
            </w:r>
          </w:p>
          <w:p>
            <w:pPr>
              <w:pStyle w:val="ListParagraph"/>
              <w:numPr>
                <w:ilvl w:val="0"/>
                <w:numId w:val="15"/>
              </w:numPr>
              <w:spacing w:before="20" w:after="40" w:line="240" w:lineRule="auto"/>
              <w:ind w:left="284" w:hanging="284"/>
              <w:contextualSpacing w:val="0"/>
              <w:jc w:val="left"/>
            </w:pPr>
            <w:r>
              <w:rPr>
                <w:sz w:val="20"/>
                <w:szCs w:val="20"/>
              </w:rPr>
              <w:t xml:space="preserve">Cannot delegate s 57 reporting obligation</w:t>
            </w:r>
          </w:p>
        </w:tc>
        <w:tc>
          <w:tcPr>
            <w:tcW w:w="2200" w:type="dxa"/>
          </w:tcPr>
          <w:p>
            <w:pPr>
              <w:pStyle w:val="ListParagraph"/>
              <w:numPr>
                <w:ilvl w:val="0"/>
                <w:numId w:val="15"/>
              </w:numPr>
              <w:spacing w:before="20" w:after="40" w:line="240" w:lineRule="auto"/>
              <w:ind w:left="284" w:hanging="284"/>
              <w:contextualSpacing w:val="0"/>
              <w:jc w:val="left"/>
            </w:pPr>
            <w:r>
              <w:rPr>
                <w:sz w:val="20"/>
                <w:szCs w:val="20"/>
              </w:rPr>
              <w:t xml:space="preserve">Section 57 IBAC notifications</w:t>
            </w:r>
          </w:p>
          <w:p>
            <w:pPr>
              <w:pStyle w:val="ListParagraph"/>
              <w:numPr>
                <w:ilvl w:val="0"/>
                <w:numId w:val="15"/>
              </w:numPr>
              <w:spacing w:before="20" w:after="40" w:line="240" w:lineRule="auto"/>
              <w:ind w:left="284" w:hanging="284"/>
              <w:contextualSpacing w:val="0"/>
              <w:jc w:val="left"/>
            </w:pPr>
            <w:r>
              <w:rPr>
                <w:sz w:val="20"/>
                <w:szCs w:val="20"/>
              </w:rPr>
              <w:t xml:space="preserve">Final approval of corruption responses*</w:t>
            </w:r>
          </w:p>
          <w:p>
            <w:pPr>
              <w:pStyle w:val="ListParagraph"/>
              <w:numPr>
                <w:ilvl w:val="0"/>
                <w:numId w:val="15"/>
              </w:numPr>
              <w:spacing w:before="20" w:after="40" w:line="240" w:lineRule="auto"/>
              <w:ind w:left="284" w:hanging="284"/>
              <w:contextualSpacing w:val="0"/>
              <w:jc w:val="left"/>
            </w:pPr>
            <w:r>
              <w:rPr>
                <w:sz w:val="20"/>
                <w:szCs w:val="20"/>
              </w:rPr>
              <w:t xml:space="preserve">Strategic oversight of integrity framework</w:t>
            </w:r>
          </w:p>
        </w:tc>
      </w:tr>
      <w:tr>
        <w:trPr>
          <w:cantSplit/>
        </w:trPr>
        <w:tc>
          <w:tcPr>
            <w:tcW w:w="1750" w:type="dxa"/>
          </w:tcPr>
          <w:p>
            <w:pPr>
              <w:spacing w:before="40" w:after="40" w:line="252" w:lineRule="auto"/>
            </w:pPr>
            <w:r>
              <w:rPr>
                <w:sz w:val="20"/>
                <w:szCs w:val="20"/>
              </w:rPr>
              <w:t xml:space="preserve">Chief People Officer</w:t>
            </w:r>
          </w:p>
        </w:tc>
        <w:tc>
          <w:tcPr>
            <w:tcW w:w="2100" w:type="dxa"/>
          </w:tcPr>
          <w:p>
            <w:pPr>
              <w:spacing w:before="40" w:after="40" w:line="252" w:lineRule="auto"/>
            </w:pPr>
            <w:r>
              <w:rPr>
                <w:sz w:val="20"/>
                <w:szCs w:val="20"/>
              </w:rPr>
              <w:t xml:space="preserve">Supports s 57 preparation; leads internal HR investigations, leads corruption investigations (where IBAC has authorised Council to investigate)</w:t>
            </w:r>
          </w:p>
        </w:tc>
        <w:tc>
          <w:tcPr>
            <w:tcW w:w="2976" w:type="dxa"/>
          </w:tcPr>
          <w:p>
            <w:pPr>
              <w:pStyle w:val="ListParagraph"/>
              <w:numPr>
                <w:ilvl w:val="0"/>
                <w:numId w:val="15"/>
              </w:numPr>
              <w:spacing w:before="20" w:after="40" w:line="240" w:lineRule="auto"/>
              <w:ind w:left="284" w:hanging="284"/>
              <w:contextualSpacing w:val="0"/>
              <w:jc w:val="left"/>
            </w:pPr>
            <w:r>
              <w:rPr>
                <w:sz w:val="20"/>
                <w:szCs w:val="20"/>
              </w:rPr>
              <w:t xml:space="preserve">Supports preparation of s 57 notifications*</w:t>
            </w:r>
          </w:p>
          <w:p>
            <w:pPr>
              <w:pStyle w:val="ListParagraph"/>
              <w:numPr>
                <w:ilvl w:val="0"/>
                <w:numId w:val="15"/>
              </w:numPr>
              <w:spacing w:before="20" w:after="40" w:line="240" w:lineRule="auto"/>
              <w:ind w:left="284" w:hanging="284"/>
              <w:contextualSpacing w:val="0"/>
              <w:jc w:val="left"/>
            </w:pPr>
            <w:r>
              <w:rPr>
                <w:sz w:val="20"/>
                <w:szCs w:val="20"/>
              </w:rPr>
              <w:t xml:space="preserve">Leads internal investigations (or delegates to relevant GM where subject matter expertise is required) subject to IBAC authorisation for Council to investigate</w:t>
            </w:r>
          </w:p>
          <w:p>
            <w:pPr>
              <w:pStyle w:val="ListParagraph"/>
              <w:numPr>
                <w:ilvl w:val="0"/>
                <w:numId w:val="15"/>
              </w:numPr>
              <w:spacing w:before="20" w:after="40" w:line="240" w:lineRule="auto"/>
              <w:ind w:left="284" w:hanging="284"/>
              <w:contextualSpacing w:val="0"/>
              <w:jc w:val="left"/>
            </w:pPr>
            <w:r>
              <w:rPr>
                <w:sz w:val="20"/>
                <w:szCs w:val="20"/>
              </w:rPr>
              <w:t xml:space="preserve">Provides preliminary assessments*</w:t>
            </w:r>
          </w:p>
          <w:p>
            <w:pPr>
              <w:pStyle w:val="ListParagraph"/>
              <w:numPr>
                <w:ilvl w:val="0"/>
                <w:numId w:val="15"/>
              </w:numPr>
              <w:spacing w:before="20" w:after="40" w:line="240" w:lineRule="auto"/>
              <w:ind w:left="284" w:hanging="284"/>
              <w:contextualSpacing w:val="0"/>
              <w:jc w:val="left"/>
            </w:pPr>
            <w:r>
              <w:rPr>
                <w:sz w:val="20"/>
                <w:szCs w:val="20"/>
              </w:rPr>
              <w:t xml:space="preserve">Refers matters brought to the officer's attention that may constitute improper conduct to the Public Interest Disclosure Coordinator</w:t>
            </w:r>
          </w:p>
        </w:tc>
        <w:tc>
          <w:tcPr>
            <w:tcW w:w="2200" w:type="dxa"/>
          </w:tcPr>
          <w:p>
            <w:pPr>
              <w:pStyle w:val="ListParagraph"/>
              <w:numPr>
                <w:ilvl w:val="0"/>
                <w:numId w:val="15"/>
              </w:numPr>
              <w:spacing w:before="20" w:after="40" w:line="240" w:lineRule="auto"/>
              <w:ind w:left="284" w:hanging="284"/>
              <w:contextualSpacing w:val="0"/>
              <w:jc w:val="left"/>
            </w:pPr>
            <w:r>
              <w:rPr>
                <w:sz w:val="20"/>
                <w:szCs w:val="20"/>
              </w:rPr>
              <w:t xml:space="preserve">Internal investigations</w:t>
            </w:r>
          </w:p>
          <w:p>
            <w:pPr>
              <w:pStyle w:val="ListParagraph"/>
              <w:numPr>
                <w:ilvl w:val="0"/>
                <w:numId w:val="15"/>
              </w:numPr>
              <w:spacing w:before="20" w:after="40" w:line="240" w:lineRule="auto"/>
              <w:ind w:left="284" w:hanging="284"/>
              <w:contextualSpacing w:val="0"/>
              <w:jc w:val="left"/>
            </w:pPr>
            <w:r>
              <w:rPr>
                <w:sz w:val="20"/>
                <w:szCs w:val="20"/>
              </w:rPr>
              <w:t xml:space="preserve">Section 57 support</w:t>
            </w:r>
          </w:p>
          <w:p>
            <w:pPr>
              <w:pStyle w:val="ListParagraph"/>
              <w:numPr>
                <w:ilvl w:val="0"/>
                <w:numId w:val="15"/>
              </w:numPr>
              <w:spacing w:before="20" w:after="40" w:line="240" w:lineRule="auto"/>
              <w:ind w:left="284" w:hanging="284"/>
              <w:contextualSpacing w:val="0"/>
              <w:jc w:val="left"/>
            </w:pPr>
            <w:r>
              <w:rPr>
                <w:sz w:val="20"/>
                <w:szCs w:val="20"/>
              </w:rPr>
              <w:t xml:space="preserve">HR-related misconduct matters</w:t>
            </w:r>
          </w:p>
        </w:tc>
      </w:tr>
      <w:tr>
        <w:trPr>
          <w:cantSplit/>
        </w:trPr>
        <w:tc>
          <w:tcPr>
            <w:tcW w:w="1750" w:type="dxa"/>
          </w:tcPr>
          <w:p>
            <w:pPr>
              <w:spacing w:before="40" w:after="40" w:line="252" w:lineRule="auto"/>
            </w:pPr>
            <w:r>
              <w:rPr>
                <w:sz w:val="20"/>
                <w:szCs w:val="20"/>
              </w:rPr>
              <w:t xml:space="preserve">Manager, Communications and Governance</w:t>
            </w:r>
          </w:p>
        </w:tc>
        <w:tc>
          <w:tcPr>
            <w:tcW w:w="2100" w:type="dxa"/>
          </w:tcPr>
          <w:p>
            <w:pPr>
              <w:spacing w:before="40" w:after="40" w:line="252" w:lineRule="auto"/>
            </w:pPr>
            <w:r>
              <w:rPr>
                <w:sz w:val="20"/>
                <w:szCs w:val="20"/>
              </w:rPr>
              <w:t xml:space="preserve">Manages Public Interest Disclosure assessments and processes (PID Coordinator)</w:t>
            </w:r>
          </w:p>
        </w:tc>
        <w:tc>
          <w:tcPr>
            <w:tcW w:w="2976" w:type="dxa"/>
          </w:tcPr>
          <w:p>
            <w:pPr>
              <w:pStyle w:val="ListParagraph"/>
              <w:numPr>
                <w:ilvl w:val="0"/>
                <w:numId w:val="15"/>
              </w:numPr>
              <w:spacing w:before="20" w:after="40" w:line="240" w:lineRule="auto"/>
              <w:ind w:left="284" w:hanging="284"/>
              <w:contextualSpacing w:val="0"/>
              <w:jc w:val="left"/>
            </w:pPr>
            <w:r>
              <w:rPr>
                <w:sz w:val="20"/>
                <w:szCs w:val="20"/>
              </w:rPr>
              <w:t xml:space="preserve">Assesses potential PIDs using IBAC PID assessment tool</w:t>
            </w:r>
          </w:p>
          <w:p>
            <w:pPr>
              <w:pStyle w:val="ListParagraph"/>
              <w:numPr>
                <w:ilvl w:val="0"/>
                <w:numId w:val="15"/>
              </w:numPr>
              <w:spacing w:before="20" w:after="40" w:line="240" w:lineRule="auto"/>
              <w:ind w:left="284" w:hanging="284"/>
              <w:contextualSpacing w:val="0"/>
              <w:jc w:val="left"/>
            </w:pPr>
            <w:r>
              <w:rPr>
                <w:sz w:val="20"/>
                <w:szCs w:val="20"/>
              </w:rPr>
              <w:t xml:space="preserve">Engages disclosers</w:t>
            </w:r>
          </w:p>
          <w:p>
            <w:pPr>
              <w:pStyle w:val="ListParagraph"/>
              <w:numPr>
                <w:ilvl w:val="0"/>
                <w:numId w:val="15"/>
              </w:numPr>
              <w:spacing w:before="20" w:after="40" w:line="240" w:lineRule="auto"/>
              <w:ind w:left="284" w:hanging="284"/>
              <w:contextualSpacing w:val="0"/>
              <w:jc w:val="left"/>
            </w:pPr>
            <w:r>
              <w:rPr>
                <w:sz w:val="20"/>
                <w:szCs w:val="20"/>
              </w:rPr>
              <w:t xml:space="preserve">Manages PID process noting confidentiality provisions under PID Act</w:t>
            </w:r>
          </w:p>
          <w:p>
            <w:pPr>
              <w:pStyle w:val="ListParagraph"/>
              <w:numPr>
                <w:ilvl w:val="0"/>
                <w:numId w:val="15"/>
              </w:numPr>
              <w:spacing w:before="20" w:after="40" w:line="240" w:lineRule="auto"/>
              <w:ind w:left="284" w:hanging="284"/>
              <w:contextualSpacing w:val="0"/>
              <w:jc w:val="left"/>
            </w:pPr>
            <w:r>
              <w:rPr>
                <w:sz w:val="20"/>
                <w:szCs w:val="20"/>
              </w:rPr>
              <w:t xml:space="preserve">Refers non-PIDs back to Fraud and Corruption Action Group</w:t>
            </w:r>
          </w:p>
          <w:p>
            <w:pPr>
              <w:pStyle w:val="ListParagraph"/>
              <w:numPr>
                <w:ilvl w:val="0"/>
                <w:numId w:val="15"/>
              </w:numPr>
              <w:spacing w:before="20" w:after="40" w:line="240" w:lineRule="auto"/>
              <w:ind w:left="284" w:hanging="284"/>
              <w:contextualSpacing w:val="0"/>
              <w:jc w:val="left"/>
            </w:pPr>
            <w:r>
              <w:rPr>
                <w:sz w:val="20"/>
                <w:szCs w:val="20"/>
              </w:rPr>
              <w:t xml:space="preserve">Supports CEO with s 57 notifications</w:t>
            </w:r>
          </w:p>
        </w:tc>
        <w:tc>
          <w:tcPr>
            <w:tcW w:w="2200" w:type="dxa"/>
          </w:tcPr>
          <w:p>
            <w:pPr>
              <w:pStyle w:val="ListParagraph"/>
              <w:numPr>
                <w:ilvl w:val="0"/>
                <w:numId w:val="15"/>
              </w:numPr>
              <w:spacing w:before="20" w:after="40" w:line="240" w:lineRule="auto"/>
              <w:ind w:left="284" w:hanging="284"/>
              <w:contextualSpacing w:val="0"/>
              <w:jc w:val="left"/>
            </w:pPr>
            <w:r>
              <w:rPr>
                <w:sz w:val="20"/>
                <w:szCs w:val="20"/>
              </w:rPr>
              <w:t xml:space="preserve">PID assessments</w:t>
            </w:r>
          </w:p>
          <w:p>
            <w:pPr>
              <w:pStyle w:val="ListParagraph"/>
              <w:numPr>
                <w:ilvl w:val="0"/>
                <w:numId w:val="15"/>
              </w:numPr>
              <w:spacing w:before="20" w:after="40" w:line="240" w:lineRule="auto"/>
              <w:ind w:left="284" w:hanging="284"/>
              <w:contextualSpacing w:val="0"/>
              <w:jc w:val="left"/>
            </w:pPr>
            <w:r>
              <w:rPr>
                <w:sz w:val="20"/>
                <w:szCs w:val="20"/>
              </w:rPr>
              <w:t xml:space="preserve">PID management</w:t>
            </w:r>
          </w:p>
          <w:p>
            <w:pPr>
              <w:pStyle w:val="ListParagraph"/>
              <w:numPr>
                <w:ilvl w:val="0"/>
                <w:numId w:val="15"/>
              </w:numPr>
              <w:spacing w:before="20" w:after="40" w:line="240" w:lineRule="auto"/>
              <w:ind w:left="284" w:hanging="284"/>
              <w:contextualSpacing w:val="0"/>
              <w:jc w:val="left"/>
            </w:pPr>
            <w:r>
              <w:rPr>
                <w:sz w:val="20"/>
                <w:szCs w:val="20"/>
              </w:rPr>
              <w:t xml:space="preserve">Discloser engagement</w:t>
            </w:r>
          </w:p>
          <w:p>
            <w:pPr>
              <w:pStyle w:val="ListParagraph"/>
              <w:numPr>
                <w:ilvl w:val="0"/>
                <w:numId w:val="15"/>
              </w:numPr>
              <w:spacing w:before="20" w:after="40" w:line="240" w:lineRule="auto"/>
              <w:ind w:left="284" w:hanging="284"/>
              <w:contextualSpacing w:val="0"/>
              <w:jc w:val="left"/>
            </w:pPr>
            <w:r>
              <w:rPr>
                <w:sz w:val="20"/>
                <w:szCs w:val="20"/>
              </w:rPr>
              <w:t xml:space="preserve">PID Act compliance</w:t>
            </w:r>
          </w:p>
          <w:p>
            <w:pPr>
              <w:pStyle w:val="ListParagraph"/>
              <w:numPr>
                <w:ilvl w:val="0"/>
                <w:numId w:val="15"/>
              </w:numPr>
              <w:spacing w:before="20" w:after="40" w:line="240" w:lineRule="auto"/>
              <w:ind w:left="284" w:hanging="284"/>
              <w:contextualSpacing w:val="0"/>
              <w:jc w:val="left"/>
            </w:pPr>
            <w:r>
              <w:rPr>
                <w:sz w:val="20"/>
                <w:szCs w:val="20"/>
              </w:rPr>
              <w:t xml:space="preserve">External liaison (IBAC, Victorian Ombudsman etc)</w:t>
            </w:r>
          </w:p>
        </w:tc>
      </w:tr>
      <w:tr>
        <w:trPr>
          <w:cantSplit/>
        </w:trPr>
        <w:tc>
          <w:tcPr>
            <w:tcW w:w="1750" w:type="dxa"/>
          </w:tcPr>
          <w:p>
            <w:pPr>
              <w:spacing w:before="40" w:after="40" w:line="252" w:lineRule="auto"/>
            </w:pPr>
            <w:r>
              <w:rPr>
                <w:sz w:val="20"/>
                <w:szCs w:val="20"/>
              </w:rPr>
              <w:t xml:space="preserve">Fraud and Corruption Action Group</w:t>
            </w:r>
          </w:p>
        </w:tc>
        <w:tc>
          <w:tcPr>
            <w:tcW w:w="2100" w:type="dxa"/>
          </w:tcPr>
          <w:p>
            <w:pPr>
              <w:spacing w:before="40" w:after="40" w:line="252" w:lineRule="auto"/>
            </w:pPr>
            <w:r>
              <w:rPr>
                <w:sz w:val="20"/>
                <w:szCs w:val="20"/>
              </w:rPr>
              <w:t xml:space="preserve">Conducts initial assessment of allegations; determines pathway and next steps</w:t>
            </w:r>
          </w:p>
        </w:tc>
        <w:tc>
          <w:tcPr>
            <w:tcW w:w="2976" w:type="dxa"/>
          </w:tcPr>
          <w:p>
            <w:pPr>
              <w:pStyle w:val="ListParagraph"/>
              <w:numPr>
                <w:ilvl w:val="0"/>
                <w:numId w:val="15"/>
              </w:numPr>
              <w:spacing w:before="20" w:after="40" w:line="240" w:lineRule="auto"/>
              <w:ind w:left="284" w:hanging="284"/>
              <w:contextualSpacing w:val="0"/>
              <w:jc w:val="left"/>
            </w:pPr>
            <w:r>
              <w:rPr>
                <w:sz w:val="20"/>
                <w:szCs w:val="20"/>
              </w:rPr>
              <w:t xml:space="preserve">Convenes after PID Coordinator has assessed a matter and determined it is not a PID, to assess matters and determine next steps including whether an incident is s 57 reportable</w:t>
            </w:r>
          </w:p>
          <w:p>
            <w:pPr>
              <w:pStyle w:val="ListParagraph"/>
              <w:numPr>
                <w:ilvl w:val="0"/>
                <w:numId w:val="15"/>
              </w:numPr>
              <w:spacing w:before="20" w:after="40" w:line="240" w:lineRule="auto"/>
              <w:ind w:left="284" w:hanging="284"/>
              <w:contextualSpacing w:val="0"/>
              <w:jc w:val="left"/>
            </w:pPr>
            <w:r>
              <w:rPr>
                <w:sz w:val="20"/>
                <w:szCs w:val="20"/>
              </w:rPr>
              <w:t xml:space="preserve">Identifies where both S57 and PID processes apply and coordinates concurrent pathways</w:t>
            </w:r>
          </w:p>
          <w:p>
            <w:pPr>
              <w:pStyle w:val="ListParagraph"/>
              <w:numPr>
                <w:ilvl w:val="0"/>
                <w:numId w:val="15"/>
              </w:numPr>
              <w:spacing w:before="20" w:after="40" w:line="240" w:lineRule="auto"/>
              <w:ind w:left="284" w:hanging="284"/>
              <w:contextualSpacing w:val="0"/>
              <w:jc w:val="left"/>
            </w:pPr>
            <w:r>
              <w:rPr>
                <w:sz w:val="20"/>
                <w:szCs w:val="20"/>
              </w:rPr>
              <w:t xml:space="preserve">Uses IBAC decision-making flowchart</w:t>
            </w:r>
          </w:p>
          <w:p>
            <w:pPr>
              <w:pStyle w:val="ListParagraph"/>
              <w:numPr>
                <w:ilvl w:val="0"/>
                <w:numId w:val="15"/>
              </w:numPr>
              <w:spacing w:before="20" w:after="40" w:line="240" w:lineRule="auto"/>
              <w:ind w:left="284" w:hanging="284"/>
              <w:contextualSpacing w:val="0"/>
              <w:jc w:val="left"/>
            </w:pPr>
            <w:r>
              <w:rPr>
                <w:sz w:val="20"/>
                <w:szCs w:val="20"/>
              </w:rPr>
              <w:t xml:space="preserve">Refers to PID Coordinator if PID considerations</w:t>
            </w:r>
          </w:p>
        </w:tc>
        <w:tc>
          <w:tcPr>
            <w:tcW w:w="2200" w:type="dxa"/>
          </w:tcPr>
          <w:p>
            <w:pPr>
              <w:pStyle w:val="ListParagraph"/>
              <w:numPr>
                <w:ilvl w:val="0"/>
                <w:numId w:val="15"/>
              </w:numPr>
              <w:spacing w:before="20" w:after="40" w:line="240" w:lineRule="auto"/>
              <w:ind w:left="284" w:hanging="284"/>
              <w:contextualSpacing w:val="0"/>
              <w:jc w:val="left"/>
            </w:pPr>
            <w:r>
              <w:rPr>
                <w:sz w:val="20"/>
                <w:szCs w:val="20"/>
              </w:rPr>
              <w:t xml:space="preserve">Initial assessment</w:t>
            </w:r>
          </w:p>
          <w:p>
            <w:pPr>
              <w:pStyle w:val="ListParagraph"/>
              <w:numPr>
                <w:ilvl w:val="0"/>
                <w:numId w:val="15"/>
              </w:numPr>
              <w:spacing w:before="20" w:after="40" w:line="240" w:lineRule="auto"/>
              <w:ind w:left="284" w:hanging="284"/>
              <w:contextualSpacing w:val="0"/>
              <w:jc w:val="left"/>
            </w:pPr>
            <w:r>
              <w:rPr>
                <w:sz w:val="20"/>
                <w:szCs w:val="20"/>
              </w:rPr>
              <w:t xml:space="preserve">Pathway determination</w:t>
            </w:r>
          </w:p>
          <w:p>
            <w:pPr>
              <w:pStyle w:val="ListParagraph"/>
              <w:numPr>
                <w:ilvl w:val="0"/>
                <w:numId w:val="15"/>
              </w:numPr>
              <w:spacing w:before="20" w:after="40" w:line="240" w:lineRule="auto"/>
              <w:ind w:left="284" w:hanging="284"/>
              <w:contextualSpacing w:val="0"/>
              <w:jc w:val="left"/>
            </w:pPr>
            <w:r>
              <w:rPr>
                <w:sz w:val="20"/>
                <w:szCs w:val="20"/>
              </w:rPr>
              <w:t xml:space="preserve">Section 57 threshold assessment</w:t>
            </w:r>
          </w:p>
          <w:p>
            <w:pPr>
              <w:pStyle w:val="ListParagraph"/>
              <w:numPr>
                <w:ilvl w:val="0"/>
                <w:numId w:val="15"/>
              </w:numPr>
              <w:spacing w:before="20" w:after="40" w:line="240" w:lineRule="auto"/>
              <w:ind w:left="284" w:hanging="284"/>
              <w:contextualSpacing w:val="0"/>
              <w:jc w:val="left"/>
            </w:pPr>
            <w:r>
              <w:rPr>
                <w:sz w:val="20"/>
                <w:szCs w:val="20"/>
              </w:rPr>
              <w:t xml:space="preserve">HR complaint triage</w:t>
            </w:r>
          </w:p>
        </w:tc>
      </w:tr>
      <w:tr>
        <w:trPr>
          <w:cantSplit/>
        </w:trPr>
        <w:tc>
          <w:tcPr>
            <w:tcW w:w="1750" w:type="dxa"/>
          </w:tcPr>
          <w:p>
            <w:pPr>
              <w:spacing w:before="40" w:after="40" w:line="252" w:lineRule="auto"/>
            </w:pPr>
            <w:r>
              <w:rPr>
                <w:sz w:val="20"/>
                <w:szCs w:val="20"/>
              </w:rPr>
              <w:t xml:space="preserve">Fraud and Corruption Register Manager</w:t>
            </w:r>
          </w:p>
        </w:tc>
        <w:tc>
          <w:tcPr>
            <w:tcW w:w="2100" w:type="dxa"/>
          </w:tcPr>
          <w:p>
            <w:pPr>
              <w:spacing w:before="40" w:after="40" w:line="252" w:lineRule="auto"/>
            </w:pPr>
            <w:r>
              <w:rPr>
                <w:sz w:val="20"/>
                <w:szCs w:val="20"/>
              </w:rPr>
              <w:t xml:space="preserve">Receives referrals from PID Coordinator (for matters assessed as not a PID); conducts preliminary assessment; maintains fraud and corruption register</w:t>
            </w:r>
          </w:p>
        </w:tc>
        <w:tc>
          <w:tcPr>
            <w:tcW w:w="2976" w:type="dxa"/>
          </w:tcPr>
          <w:p>
            <w:pPr>
              <w:pStyle w:val="ListParagraph"/>
              <w:numPr>
                <w:ilvl w:val="0"/>
                <w:numId w:val="15"/>
              </w:numPr>
              <w:spacing w:before="20" w:after="40" w:line="240" w:lineRule="auto"/>
              <w:ind w:left="284" w:hanging="284"/>
              <w:contextualSpacing w:val="0"/>
              <w:jc w:val="left"/>
            </w:pPr>
            <w:r>
              <w:rPr>
                <w:sz w:val="20"/>
                <w:szCs w:val="20"/>
              </w:rPr>
              <w:t xml:space="preserve">Refers matters to PID coordinator (after PID ruled out)</w:t>
            </w:r>
          </w:p>
          <w:p>
            <w:pPr>
              <w:pStyle w:val="ListParagraph"/>
              <w:numPr>
                <w:ilvl w:val="0"/>
                <w:numId w:val="15"/>
              </w:numPr>
              <w:spacing w:before="20" w:after="40" w:line="240" w:lineRule="auto"/>
              <w:ind w:left="284" w:hanging="284"/>
              <w:contextualSpacing w:val="0"/>
              <w:jc w:val="left"/>
            </w:pPr>
            <w:r>
              <w:rPr>
                <w:sz w:val="20"/>
                <w:szCs w:val="20"/>
              </w:rPr>
              <w:t xml:space="preserve">Conducts preliminary assessment</w:t>
            </w:r>
          </w:p>
          <w:p>
            <w:pPr>
              <w:pStyle w:val="ListParagraph"/>
              <w:numPr>
                <w:ilvl w:val="0"/>
                <w:numId w:val="15"/>
              </w:numPr>
              <w:spacing w:before="20" w:after="40" w:line="240" w:lineRule="auto"/>
              <w:ind w:left="284" w:hanging="284"/>
              <w:contextualSpacing w:val="0"/>
              <w:jc w:val="left"/>
            </w:pPr>
            <w:r>
              <w:rPr>
                <w:sz w:val="20"/>
                <w:szCs w:val="20"/>
              </w:rPr>
              <w:t xml:space="preserve">Convenes Fraud and Corruption Action Group if allegation involves potential corrupt conduct (provided IBAC processes are first exhausted)</w:t>
            </w:r>
          </w:p>
          <w:p>
            <w:pPr>
              <w:pStyle w:val="ListParagraph"/>
              <w:numPr>
                <w:ilvl w:val="0"/>
                <w:numId w:val="15"/>
              </w:numPr>
              <w:spacing w:before="20" w:after="40" w:line="240" w:lineRule="auto"/>
              <w:ind w:left="284" w:hanging="284"/>
              <w:contextualSpacing w:val="0"/>
              <w:jc w:val="left"/>
            </w:pPr>
            <w:r>
              <w:rPr>
                <w:sz w:val="20"/>
                <w:szCs w:val="20"/>
              </w:rPr>
              <w:t xml:space="preserve">Maintains fraud and corruption register</w:t>
            </w:r>
          </w:p>
          <w:p>
            <w:pPr>
              <w:pStyle w:val="ListParagraph"/>
              <w:numPr>
                <w:ilvl w:val="0"/>
                <w:numId w:val="15"/>
              </w:numPr>
              <w:spacing w:before="20" w:after="40" w:line="240" w:lineRule="auto"/>
              <w:ind w:left="284" w:hanging="284"/>
              <w:contextualSpacing w:val="0"/>
              <w:jc w:val="left"/>
            </w:pPr>
            <w:r>
              <w:rPr>
                <w:sz w:val="20"/>
                <w:szCs w:val="20"/>
              </w:rPr>
              <w:t xml:space="preserve">Assesses whether HR complaints constitute improper or unethical conduct and refers to PID coordinator where appropriate</w:t>
            </w:r>
          </w:p>
        </w:tc>
        <w:tc>
          <w:tcPr>
            <w:tcW w:w="2200" w:type="dxa"/>
          </w:tcPr>
          <w:p>
            <w:pPr>
              <w:pStyle w:val="ListParagraph"/>
              <w:numPr>
                <w:ilvl w:val="0"/>
                <w:numId w:val="15"/>
              </w:numPr>
              <w:spacing w:before="20" w:after="40" w:line="240" w:lineRule="auto"/>
              <w:ind w:left="284" w:hanging="284"/>
              <w:contextualSpacing w:val="0"/>
              <w:jc w:val="left"/>
            </w:pPr>
            <w:r>
              <w:rPr>
                <w:sz w:val="20"/>
                <w:szCs w:val="20"/>
              </w:rPr>
              <w:t xml:space="preserve">Complaint receipt</w:t>
            </w:r>
          </w:p>
          <w:p>
            <w:pPr>
              <w:pStyle w:val="ListParagraph"/>
              <w:numPr>
                <w:ilvl w:val="0"/>
                <w:numId w:val="15"/>
              </w:numPr>
              <w:spacing w:before="20" w:after="40" w:line="240" w:lineRule="auto"/>
              <w:ind w:left="284" w:hanging="284"/>
              <w:contextualSpacing w:val="0"/>
              <w:jc w:val="left"/>
            </w:pPr>
            <w:r>
              <w:rPr>
                <w:sz w:val="20"/>
                <w:szCs w:val="20"/>
              </w:rPr>
              <w:t xml:space="preserve">Preliminary assessment</w:t>
            </w:r>
          </w:p>
          <w:p>
            <w:pPr>
              <w:pStyle w:val="ListParagraph"/>
              <w:numPr>
                <w:ilvl w:val="0"/>
                <w:numId w:val="15"/>
              </w:numPr>
              <w:spacing w:before="20" w:after="40" w:line="240" w:lineRule="auto"/>
              <w:ind w:left="284" w:hanging="284"/>
              <w:contextualSpacing w:val="0"/>
              <w:jc w:val="left"/>
            </w:pPr>
            <w:r>
              <w:rPr>
                <w:sz w:val="20"/>
                <w:szCs w:val="20"/>
              </w:rPr>
              <w:t xml:space="preserve">Register maintenance</w:t>
            </w:r>
          </w:p>
        </w:tc>
      </w:tr>
      <w:tr>
        <w:trPr>
          <w:cantSplit/>
        </w:trPr>
        <w:tc>
          <w:tcPr>
            <w:tcW w:w="1750" w:type="dxa"/>
          </w:tcPr>
          <w:p>
            <w:pPr>
              <w:spacing w:before="40" w:after="40" w:line="252" w:lineRule="auto"/>
            </w:pPr>
            <w:r>
              <w:rPr>
                <w:sz w:val="20"/>
                <w:szCs w:val="20"/>
              </w:rPr>
              <w:t xml:space="preserve">Person Receiving Complaint</w:t>
            </w:r>
          </w:p>
        </w:tc>
        <w:tc>
          <w:tcPr>
            <w:tcW w:w="2100" w:type="dxa"/>
          </w:tcPr>
          <w:p>
            <w:pPr>
              <w:spacing w:before="40" w:after="40" w:line="252" w:lineRule="auto"/>
            </w:pPr>
            <w:r>
              <w:rPr>
                <w:sz w:val="20"/>
                <w:szCs w:val="20"/>
              </w:rPr>
              <w:t xml:space="preserve">First point of contact; ensures appropriate referral</w:t>
            </w:r>
          </w:p>
        </w:tc>
        <w:tc>
          <w:tcPr>
            <w:tcW w:w="2976" w:type="dxa"/>
          </w:tcPr>
          <w:p>
            <w:pPr>
              <w:pStyle w:val="ListParagraph"/>
              <w:numPr>
                <w:ilvl w:val="0"/>
                <w:numId w:val="15"/>
              </w:numPr>
              <w:spacing w:before="20" w:after="40" w:line="240" w:lineRule="auto"/>
              <w:ind w:left="284" w:hanging="284"/>
              <w:contextualSpacing w:val="0"/>
              <w:jc w:val="left"/>
            </w:pPr>
            <w:r>
              <w:rPr>
                <w:sz w:val="20"/>
                <w:szCs w:val="20"/>
              </w:rPr>
              <w:t xml:space="preserve">Receives complaint</w:t>
            </w:r>
          </w:p>
          <w:p>
            <w:pPr>
              <w:pStyle w:val="ListParagraph"/>
              <w:numPr>
                <w:ilvl w:val="0"/>
                <w:numId w:val="15"/>
              </w:numPr>
              <w:spacing w:before="20" w:after="40" w:line="240" w:lineRule="auto"/>
              <w:ind w:left="284" w:hanging="284"/>
              <w:contextualSpacing w:val="0"/>
              <w:jc w:val="left"/>
            </w:pPr>
            <w:r>
              <w:rPr>
                <w:sz w:val="20"/>
                <w:szCs w:val="20"/>
              </w:rPr>
              <w:t xml:space="preserve">Refers to PID coordinator for assessment</w:t>
            </w:r>
          </w:p>
          <w:p>
            <w:pPr>
              <w:pStyle w:val="ListParagraph"/>
              <w:numPr>
                <w:ilvl w:val="0"/>
                <w:numId w:val="15"/>
              </w:numPr>
              <w:spacing w:before="20" w:after="40" w:line="240" w:lineRule="auto"/>
              <w:ind w:left="284" w:hanging="284"/>
              <w:contextualSpacing w:val="0"/>
              <w:jc w:val="left"/>
            </w:pPr>
            <w:r>
              <w:rPr>
                <w:sz w:val="20"/>
                <w:szCs w:val="20"/>
              </w:rPr>
              <w:t xml:space="preserve">Does not investigate or take action</w:t>
            </w:r>
          </w:p>
        </w:tc>
        <w:tc>
          <w:tcPr>
            <w:tcW w:w="2200" w:type="dxa"/>
          </w:tcPr>
          <w:p>
            <w:pPr>
              <w:pStyle w:val="ListParagraph"/>
              <w:numPr>
                <w:ilvl w:val="0"/>
                <w:numId w:val="15"/>
              </w:numPr>
              <w:spacing w:before="20" w:after="40" w:line="240" w:lineRule="auto"/>
              <w:ind w:left="284" w:hanging="284"/>
              <w:contextualSpacing w:val="0"/>
              <w:jc w:val="left"/>
            </w:pPr>
            <w:r>
              <w:rPr>
                <w:sz w:val="20"/>
                <w:szCs w:val="20"/>
              </w:rPr>
              <w:t xml:space="preserve">Appropriate referral of complaints</w:t>
            </w:r>
          </w:p>
          <w:p>
            <w:pPr>
              <w:pStyle w:val="ListParagraph"/>
              <w:numPr>
                <w:ilvl w:val="0"/>
                <w:numId w:val="15"/>
              </w:numPr>
              <w:spacing w:before="20" w:after="40" w:line="240" w:lineRule="auto"/>
              <w:ind w:left="284" w:hanging="284"/>
              <w:contextualSpacing w:val="0"/>
              <w:jc w:val="left"/>
            </w:pPr>
            <w:r>
              <w:rPr>
                <w:sz w:val="20"/>
                <w:szCs w:val="20"/>
              </w:rPr>
              <w:t xml:space="preserve">Does not investigate or take action</w:t>
            </w:r>
          </w:p>
        </w:tc>
      </w:tr>
    </w:tbl>
    <w:p>
      <w:pPr>
        <w:spacing w:after="0"/>
      </w:pPr>
    </w:p>
    <w:p>
      <w:pPr/>
      <w:r>
        <w:t xml:space="preserve">* Subject to PID/public interest complaint confidentiality obligations arising under the PID Act in relation to any matter.</w:t>
      </w:r>
    </w:p>
    <w:p>
      <w:pPr>
        <w:pStyle w:val="Heading1"/>
      </w:pPr>
      <w:bookmarkStart w:id="9106" w:name="_Toc91000006"/>
      <w:r>
        <w:t xml:space="preserve">Process Map</w:t>
      </w:r>
      <w:bookmarkEnd w:id="9106"/>
    </w:p>
    <w:p>
      <w:pPr>
        <w:spacing w:before="120" w:after="120"/>
        <w:jc w:val="center"/>
      </w:pPr>
      <w:r>
        <w:drawing>
          <wp:inline distT="0" distB="0" distL="0" distR="0">
            <wp:extent cx="5731510" cy="6252251"/>
            <wp:effectExtent l="0" t="0" r="0" b="0"/>
            <wp:docPr id="5001" name="Reporting Corruption Process Flowchart" title="Reporting Corruption Process Flowchart" descr="Reporting Corruption Process Flowchart, City of Port Phillip. Two pathways. PID entry pathway: the PID Coordinator receives the complaint and assesses whether it is a PID (does the information show or tend to show improper conduct or detriment). If it is, the discloser is asked whether they want it treated as a PID, the PID Coordinator notifies IBAC within 28 days, and IBAC determines how to handle it: IBAC investigates; or refers it back to Council for an internal investigation under the PID Act, with confidentiality lifted per IBAC direction, and the discloser is informed of the outcome; or determines it is not a PID, which moves it to the section 57 question. Non-PID / S57 pathway: the Chief People Officer or Head of Risk and Assurance receives the complaint (potential PIDs are referred to the PID Coordinator) and asks whether a section 57 notification is potentially required. If yes, the CEO is briefed and makes the notification to IBAC, and IBAC responds within 45 days and may refer the matter back. If no, the matter is referred to the Fraud and Corruption Action Group, which assesses it using the IBAC decision-making flowchart and determines next steps: an HR assessment under standard HR processes, or an internal process led by HR or the relevant General Manager. The outcome is determined, the CEO is informed and makes a decision, and the Fraud and Corruption Register is updated by the Corruption Register Manager. Confidentiality note: the CEO and other staff must not be informed of a PID unless and until IBAC refers the matter back, lifting confidentiality obligations."/>
            <wp:cNvGraphicFramePr>
              <ns1:graphicFrameLocks xmlns:ns1="http://schemas.openxmlformats.org/drawingml/2006/main" noChangeAspect="1"/>
            </wp:cNvGraphicFramePr>
            <ns2:graphic xmlns:ns2="http://schemas.openxmlformats.org/drawingml/2006/main">
              <ns2:graphicData uri="http://schemas.openxmlformats.org/drawingml/2006/picture">
                <ns3:pic xmlns:ns3="http://schemas.openxmlformats.org/drawingml/2006/picture">
                  <ns3:nvPicPr>
                    <ns3:cNvPr id="0" name="flow-002.png" descr="Reporting Corruption Process Flowchart, City of Port Phillip. Two pathways. PID entry pathway: the PID Coordinator receives the complaint and assesses whether it is a PID (does the information show or tend to show improper conduct or detriment). If it is, the discloser is asked whether they want it treated as a PID, the PID Coordinator notifies IBAC within 28 days, and IBAC determines how to handle it: IBAC investigates; or refers it back to Council for an internal investigation under the PID Act, with confidentiality lifted per IBAC direction, and the discloser is informed of the outcome; or determines it is not a PID, which moves it to the section 57 question. Non-PID / S57 pathway: the Chief People Officer or Head of Risk and Assurance receives the complaint (potential PIDs are referred to the PID Coordinator) and asks whether a section 57 notification is potentially required. If yes, the CEO is briefed and makes the notification to IBAC, and IBAC responds within 45 days and may refer the matter back. If no, the matter is referred to the Fraud and Corruption Action Group, which assesses it using the IBAC decision-making flowchart and determines next steps: an HR assessment under standard HR processes, or an internal process led by HR or the relevant General Manager. The outcome is determined, the CEO is informed and makes a decision, and the Fraud and Corruption Register is updated by the Corruption Register Manager. Confidentiality note: the CEO and other staff must not be informed of a PID unless and until IBAC refers the matter back, lifting confidentiality obligations."/>
                    <ns3:cNvPicPr/>
                  </ns3:nvPicPr>
                  <ns3:blipFill>
                    <ns2:blip r:embed="rId302"/>
                    <ns2:stretch>
                      <ns2:fillRect/>
                    </ns2:stretch>
                  </ns3:blipFill>
                  <ns3:spPr>
                    <ns2:xfrm>
                      <ns2:off x="0" y="0"/>
                      <ns2:ext cx="5731510" cy="6252251"/>
                    </ns2:xfrm>
                    <ns2:prstGeom prst="rect">
                      <ns2:avLst/>
                    </ns2:prstGeom>
                  </ns3:spPr>
                </ns3:pic>
              </ns2:graphicData>
            </ns2:graphic>
          </wp:inline>
        </w:drawing>
      </w:r>
    </w:p>
    <w:p>
      <w:pPr>
        <w:pStyle w:val="Heading1"/>
      </w:pPr>
      <w:bookmarkStart w:id="9107" w:name="_Toc91000007"/>
      <w:r>
        <w:t xml:space="preserve">Relevant Legislation</w:t>
      </w:r>
      <w:bookmarkEnd w:id="9107"/>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2600"/>
        <w:gridCol w:w="4826"/>
        <w:gridCol w:w="1600"/>
      </w:tblGrid>
      <w:tr>
        <w:trPr>
          <w:cantSplit/>
          <w:tblHeader/>
        </w:trPr>
        <w:tc>
          <w:tcPr>
            <w:tcW w:w="2600" w:type="dxa"/>
            <w:shd w:val="clear" w:color="auto" w:fill="F68B1F"/>
          </w:tcPr>
          <w:p>
            <w:pPr>
              <w:keepNext/>
              <w:spacing w:before="40" w:after="40" w:line="252" w:lineRule="auto"/>
            </w:pPr>
            <w:r>
              <w:rPr>
                <w:b/>
                <w:bCs/>
                <w:color w:val="FFFFFF"/>
                <w:sz w:val="20"/>
                <w:szCs w:val="20"/>
              </w:rPr>
              <w:t xml:space="preserve">Legislation</w:t>
            </w:r>
          </w:p>
        </w:tc>
        <w:tc>
          <w:tcPr>
            <w:tcW w:w="4826" w:type="dxa"/>
            <w:shd w:val="clear" w:color="auto" w:fill="F68B1F"/>
          </w:tcPr>
          <w:p>
            <w:pPr>
              <w:keepNext/>
              <w:spacing w:before="40" w:after="40" w:line="252" w:lineRule="auto"/>
            </w:pPr>
            <w:r>
              <w:rPr>
                <w:b/>
                <w:bCs/>
                <w:color w:val="FFFFFF"/>
                <w:sz w:val="20"/>
                <w:szCs w:val="20"/>
              </w:rPr>
              <w:t xml:space="preserve">Description</w:t>
            </w:r>
          </w:p>
        </w:tc>
        <w:tc>
          <w:tcPr>
            <w:tcW w:w="1600" w:type="dxa"/>
            <w:shd w:val="clear" w:color="auto" w:fill="F68B1F"/>
          </w:tcPr>
          <w:p>
            <w:pPr>
              <w:keepNext/>
              <w:spacing w:before="40" w:after="40" w:line="252" w:lineRule="auto"/>
            </w:pPr>
            <w:r>
              <w:rPr>
                <w:b/>
                <w:bCs/>
                <w:color w:val="FFFFFF"/>
                <w:sz w:val="20"/>
                <w:szCs w:val="20"/>
              </w:rPr>
              <w:t xml:space="preserve">Link</w:t>
            </w:r>
          </w:p>
        </w:tc>
      </w:tr>
      <w:tr>
        <w:trPr>
          <w:cantSplit/>
        </w:trPr>
        <w:tc>
          <w:tcPr>
            <w:tcW w:w="2600" w:type="dxa"/>
          </w:tcPr>
          <w:p>
            <w:pPr>
              <w:spacing w:before="40" w:after="40" w:line="252" w:lineRule="auto"/>
            </w:pPr>
            <w:r>
              <w:rPr>
                <w:sz w:val="20"/>
                <w:szCs w:val="20"/>
              </w:rPr>
              <w:t xml:space="preserve">Independent Broad-based Anti-corruption Commission Act 2011 (Vic)</w:t>
            </w:r>
          </w:p>
        </w:tc>
        <w:tc>
          <w:tcPr>
            <w:tcW w:w="4826" w:type="dxa"/>
          </w:tcPr>
          <w:p>
            <w:pPr>
              <w:spacing w:before="40" w:after="40" w:line="252" w:lineRule="auto"/>
            </w:pPr>
            <w:r>
              <w:rPr>
                <w:sz w:val="20"/>
                <w:szCs w:val="20"/>
              </w:rPr>
              <w:t xml:space="preserve">Establishes IBAC and sets out obligations for reporting suspected corrupt conduct, including mandatory notification requirements under Section 57</w:t>
            </w:r>
          </w:p>
        </w:tc>
        <w:tc>
          <w:tcPr>
            <w:tcW w:w="1600" w:type="dxa"/>
          </w:tcPr>
          <w:p>
            <w:pPr>
              <w:spacing w:before="40" w:after="40" w:line="252" w:lineRule="auto"/>
              <w:jc w:val="center"/>
            </w:pPr>
            <w:hyperlink r:id="rId303"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Public Interest Disclosures Act 2012 (Vic)</w:t>
            </w:r>
          </w:p>
        </w:tc>
        <w:tc>
          <w:tcPr>
            <w:tcW w:w="4826" w:type="dxa"/>
          </w:tcPr>
          <w:p>
            <w:pPr>
              <w:spacing w:before="40" w:after="40" w:line="252" w:lineRule="auto"/>
            </w:pPr>
            <w:r>
              <w:rPr>
                <w:sz w:val="20"/>
                <w:szCs w:val="20"/>
              </w:rPr>
              <w:t xml:space="preserve">Provides framework for making and handling public interest disclosures, including protections for disclosers</w:t>
            </w:r>
          </w:p>
        </w:tc>
        <w:tc>
          <w:tcPr>
            <w:tcW w:w="1600" w:type="dxa"/>
          </w:tcPr>
          <w:p>
            <w:pPr>
              <w:spacing w:before="40" w:after="40" w:line="252" w:lineRule="auto"/>
              <w:jc w:val="center"/>
            </w:pPr>
            <w:hyperlink r:id="rId304"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Occupational Health and Safety Act 2004 (Vic)</w:t>
            </w:r>
          </w:p>
        </w:tc>
        <w:tc>
          <w:tcPr>
            <w:tcW w:w="4826" w:type="dxa"/>
          </w:tcPr>
          <w:p>
            <w:pPr>
              <w:spacing w:before="40" w:after="40" w:line="252" w:lineRule="auto"/>
            </w:pPr>
            <w:r>
              <w:rPr>
                <w:sz w:val="20"/>
                <w:szCs w:val="20"/>
              </w:rPr>
              <w:t xml:space="preserve">Relevant where complaints involve workplace health and safety matters</w:t>
            </w:r>
          </w:p>
        </w:tc>
        <w:tc>
          <w:tcPr>
            <w:tcW w:w="1600" w:type="dxa"/>
          </w:tcPr>
          <w:p>
            <w:pPr>
              <w:spacing w:before="40" w:after="40" w:line="252" w:lineRule="auto"/>
              <w:jc w:val="center"/>
            </w:pPr>
            <w:hyperlink r:id="rId305"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Privacy and Data Protection Act 2014 (Vic)</w:t>
            </w:r>
          </w:p>
        </w:tc>
        <w:tc>
          <w:tcPr>
            <w:tcW w:w="4826" w:type="dxa"/>
          </w:tcPr>
          <w:p>
            <w:pPr>
              <w:spacing w:before="40" w:after="40" w:line="252" w:lineRule="auto"/>
            </w:pPr>
            <w:r>
              <w:rPr>
                <w:sz w:val="20"/>
                <w:szCs w:val="20"/>
              </w:rPr>
              <w:t xml:space="preserve">Governs handling of personal information in corruption and PID matters</w:t>
            </w:r>
          </w:p>
        </w:tc>
        <w:tc>
          <w:tcPr>
            <w:tcW w:w="1600" w:type="dxa"/>
          </w:tcPr>
          <w:p>
            <w:pPr>
              <w:spacing w:before="40" w:after="40" w:line="252" w:lineRule="auto"/>
              <w:jc w:val="center"/>
            </w:pPr>
            <w:hyperlink r:id="rId306" w:history="1">
              <w:r>
                <w:rPr>
                  <w:rStyle w:val="Hyperlink"/>
                  <w:sz w:val="20"/>
                  <w:szCs w:val="20"/>
                </w:rPr>
                <w:t xml:space="preserve">Link</w:t>
              </w:r>
            </w:hyperlink>
          </w:p>
        </w:tc>
      </w:tr>
    </w:tbl>
    <w:p>
      <w:pPr>
        <w:pStyle w:val="Heading1"/>
      </w:pPr>
      <w:bookmarkStart w:id="9108" w:name="_Toc91000008"/>
      <w:r>
        <w:t xml:space="preserve">IBAC Resources</w:t>
      </w:r>
      <w:bookmarkEnd w:id="9108"/>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2600"/>
        <w:gridCol w:w="4826"/>
        <w:gridCol w:w="1600"/>
      </w:tblGrid>
      <w:tr>
        <w:trPr>
          <w:cantSplit/>
          <w:tblHeader/>
        </w:trPr>
        <w:tc>
          <w:tcPr>
            <w:tcW w:w="2600" w:type="dxa"/>
            <w:shd w:val="clear" w:color="auto" w:fill="F68B1F"/>
          </w:tcPr>
          <w:p>
            <w:pPr>
              <w:keepNext/>
              <w:spacing w:before="40" w:after="40" w:line="252" w:lineRule="auto"/>
            </w:pPr>
            <w:r>
              <w:rPr>
                <w:b/>
                <w:bCs/>
                <w:color w:val="FFFFFF"/>
                <w:sz w:val="20"/>
                <w:szCs w:val="20"/>
              </w:rPr>
              <w:t xml:space="preserve">Resource</w:t>
            </w:r>
          </w:p>
        </w:tc>
        <w:tc>
          <w:tcPr>
            <w:tcW w:w="4826" w:type="dxa"/>
            <w:shd w:val="clear" w:color="auto" w:fill="F68B1F"/>
          </w:tcPr>
          <w:p>
            <w:pPr>
              <w:keepNext/>
              <w:spacing w:before="40" w:after="40" w:line="252" w:lineRule="auto"/>
            </w:pPr>
            <w:r>
              <w:rPr>
                <w:b/>
                <w:bCs/>
                <w:color w:val="FFFFFF"/>
                <w:sz w:val="20"/>
                <w:szCs w:val="20"/>
              </w:rPr>
              <w:t xml:space="preserve">Description</w:t>
            </w:r>
          </w:p>
        </w:tc>
        <w:tc>
          <w:tcPr>
            <w:tcW w:w="1600" w:type="dxa"/>
            <w:shd w:val="clear" w:color="auto" w:fill="F68B1F"/>
          </w:tcPr>
          <w:p>
            <w:pPr>
              <w:keepNext/>
              <w:spacing w:before="40" w:after="40" w:line="252" w:lineRule="auto"/>
            </w:pPr>
            <w:r>
              <w:rPr>
                <w:b/>
                <w:bCs/>
                <w:color w:val="FFFFFF"/>
                <w:sz w:val="20"/>
                <w:szCs w:val="20"/>
              </w:rPr>
              <w:t xml:space="preserve">Link</w:t>
            </w:r>
          </w:p>
        </w:tc>
      </w:tr>
      <w:tr>
        <w:trPr>
          <w:cantSplit/>
        </w:trPr>
        <w:tc>
          <w:tcPr>
            <w:tcW w:w="2600" w:type="dxa"/>
          </w:tcPr>
          <w:p>
            <w:pPr>
              <w:spacing w:before="40" w:after="40" w:line="252" w:lineRule="auto"/>
            </w:pPr>
            <w:r>
              <w:rPr>
                <w:sz w:val="20"/>
                <w:szCs w:val="20"/>
              </w:rPr>
              <w:t xml:space="preserve">Information for principal officers</w:t>
            </w:r>
          </w:p>
        </w:tc>
        <w:tc>
          <w:tcPr>
            <w:tcW w:w="4826" w:type="dxa"/>
          </w:tcPr>
          <w:p>
            <w:pPr>
              <w:spacing w:before="40" w:after="40" w:line="252" w:lineRule="auto"/>
            </w:pPr>
            <w:r>
              <w:rPr>
                <w:sz w:val="20"/>
                <w:szCs w:val="20"/>
              </w:rPr>
              <w:t xml:space="preserve">Overview of mandatory notification obligations for CEOs and department heads</w:t>
            </w:r>
          </w:p>
        </w:tc>
        <w:tc>
          <w:tcPr>
            <w:tcW w:w="1600" w:type="dxa"/>
          </w:tcPr>
          <w:p>
            <w:pPr>
              <w:spacing w:before="40" w:after="40" w:line="252" w:lineRule="auto"/>
              <w:jc w:val="center"/>
            </w:pPr>
            <w:hyperlink r:id="rId307"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Directions for making mandatory notifications</w:t>
            </w:r>
          </w:p>
        </w:tc>
        <w:tc>
          <w:tcPr>
            <w:tcW w:w="4826" w:type="dxa"/>
          </w:tcPr>
          <w:p>
            <w:pPr>
              <w:spacing w:before="40" w:after="40" w:line="252" w:lineRule="auto"/>
            </w:pPr>
            <w:r>
              <w:rPr>
                <w:sz w:val="20"/>
                <w:szCs w:val="20"/>
              </w:rPr>
              <w:t xml:space="preserve">Detailed guidance on S57 notification requirements, process and forms</w:t>
            </w:r>
          </w:p>
        </w:tc>
        <w:tc>
          <w:tcPr>
            <w:tcW w:w="1600" w:type="dxa"/>
          </w:tcPr>
          <w:p>
            <w:pPr>
              <w:spacing w:before="40" w:after="40" w:line="252" w:lineRule="auto"/>
              <w:jc w:val="center"/>
            </w:pPr>
            <w:hyperlink r:id="rId308"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Mandatory notification forms</w:t>
            </w:r>
          </w:p>
        </w:tc>
        <w:tc>
          <w:tcPr>
            <w:tcW w:w="4826" w:type="dxa"/>
          </w:tcPr>
          <w:p>
            <w:pPr>
              <w:spacing w:before="40" w:after="40" w:line="252" w:lineRule="auto"/>
            </w:pPr>
            <w:r>
              <w:rPr>
                <w:sz w:val="20"/>
                <w:szCs w:val="20"/>
              </w:rPr>
              <w:t xml:space="preserve">Forms for submitting S57 notifications to IBAC</w:t>
            </w:r>
          </w:p>
        </w:tc>
        <w:tc>
          <w:tcPr>
            <w:tcW w:w="1600" w:type="dxa"/>
          </w:tcPr>
          <w:p>
            <w:pPr>
              <w:spacing w:before="40" w:after="40" w:line="252" w:lineRule="auto"/>
              <w:jc w:val="center"/>
            </w:pPr>
            <w:hyperlink r:id="rId309"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What is a public interest disclosure?</w:t>
            </w:r>
          </w:p>
        </w:tc>
        <w:tc>
          <w:tcPr>
            <w:tcW w:w="4826" w:type="dxa"/>
          </w:tcPr>
          <w:p>
            <w:pPr>
              <w:spacing w:before="40" w:after="40" w:line="252" w:lineRule="auto"/>
            </w:pPr>
            <w:r>
              <w:rPr>
                <w:sz w:val="20"/>
                <w:szCs w:val="20"/>
              </w:rPr>
              <w:t xml:space="preserve">Overview of PID protections and how to make a disclosure</w:t>
            </w:r>
          </w:p>
        </w:tc>
        <w:tc>
          <w:tcPr>
            <w:tcW w:w="1600" w:type="dxa"/>
          </w:tcPr>
          <w:p>
            <w:pPr>
              <w:spacing w:before="40" w:after="40" w:line="252" w:lineRule="auto"/>
              <w:jc w:val="center"/>
            </w:pPr>
            <w:hyperlink r:id="rId310"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Public Interest Disclosure process</w:t>
            </w:r>
          </w:p>
        </w:tc>
        <w:tc>
          <w:tcPr>
            <w:tcW w:w="4826" w:type="dxa"/>
          </w:tcPr>
          <w:p>
            <w:pPr>
              <w:spacing w:before="40" w:after="40" w:line="252" w:lineRule="auto"/>
            </w:pPr>
            <w:r>
              <w:rPr>
                <w:sz w:val="20"/>
                <w:szCs w:val="20"/>
              </w:rPr>
              <w:t xml:space="preserve">Step-by-step guide to the PID process</w:t>
            </w:r>
          </w:p>
        </w:tc>
        <w:tc>
          <w:tcPr>
            <w:tcW w:w="1600" w:type="dxa"/>
          </w:tcPr>
          <w:p>
            <w:pPr>
              <w:spacing w:before="40" w:after="40" w:line="252" w:lineRule="auto"/>
              <w:jc w:val="center"/>
            </w:pPr>
            <w:hyperlink r:id="rId311"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Guidelines for handling public interest disclosures</w:t>
            </w:r>
          </w:p>
        </w:tc>
        <w:tc>
          <w:tcPr>
            <w:tcW w:w="4826" w:type="dxa"/>
          </w:tcPr>
          <w:p>
            <w:pPr>
              <w:spacing w:before="40" w:after="40" w:line="252" w:lineRule="auto"/>
            </w:pPr>
            <w:r>
              <w:rPr>
                <w:sz w:val="20"/>
                <w:szCs w:val="20"/>
              </w:rPr>
              <w:t xml:space="preserve">Comprehensive guidelines for PID Coordinators and agencies</w:t>
            </w:r>
          </w:p>
        </w:tc>
        <w:tc>
          <w:tcPr>
            <w:tcW w:w="1600" w:type="dxa"/>
          </w:tcPr>
          <w:p>
            <w:pPr>
              <w:spacing w:before="40" w:after="40" w:line="252" w:lineRule="auto"/>
              <w:jc w:val="center"/>
            </w:pPr>
            <w:hyperlink r:id="rId312"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Resources for PID Coordinators</w:t>
            </w:r>
          </w:p>
        </w:tc>
        <w:tc>
          <w:tcPr>
            <w:tcW w:w="4826" w:type="dxa"/>
          </w:tcPr>
          <w:p>
            <w:pPr>
              <w:spacing w:before="40" w:after="40" w:line="252" w:lineRule="auto"/>
            </w:pPr>
            <w:r>
              <w:rPr>
                <w:sz w:val="20"/>
                <w:szCs w:val="20"/>
              </w:rPr>
              <w:t xml:space="preserve">Training materials, templates and guidance for PID Coordinators</w:t>
            </w:r>
          </w:p>
        </w:tc>
        <w:tc>
          <w:tcPr>
            <w:tcW w:w="1600" w:type="dxa"/>
          </w:tcPr>
          <w:p>
            <w:pPr>
              <w:spacing w:before="40" w:after="40" w:line="252" w:lineRule="auto"/>
              <w:jc w:val="center"/>
            </w:pPr>
            <w:hyperlink r:id="rId313"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Managing an internal investigation into misconduct</w:t>
            </w:r>
          </w:p>
        </w:tc>
        <w:tc>
          <w:tcPr>
            <w:tcW w:w="4826" w:type="dxa"/>
          </w:tcPr>
          <w:p>
            <w:pPr>
              <w:spacing w:before="40" w:after="40" w:line="252" w:lineRule="auto"/>
            </w:pPr>
            <w:r>
              <w:rPr>
                <w:sz w:val="20"/>
                <w:szCs w:val="20"/>
              </w:rPr>
              <w:t xml:space="preserve">Practical guide for conducting internal misconduct investigations</w:t>
            </w:r>
          </w:p>
        </w:tc>
        <w:tc>
          <w:tcPr>
            <w:tcW w:w="1600" w:type="dxa"/>
          </w:tcPr>
          <w:p>
            <w:pPr>
              <w:spacing w:before="40" w:after="40" w:line="252" w:lineRule="auto"/>
              <w:jc w:val="center"/>
            </w:pPr>
            <w:hyperlink r:id="rId314" w:history="1">
              <w:r>
                <w:rPr>
                  <w:rStyle w:val="Hyperlink"/>
                  <w:sz w:val="20"/>
                  <w:szCs w:val="20"/>
                </w:rPr>
                <w:t xml:space="preserve">Link</w:t>
              </w:r>
            </w:hyperlink>
          </w:p>
        </w:tc>
      </w:tr>
      <w:tr>
        <w:trPr>
          <w:cantSplit/>
        </w:trPr>
        <w:tc>
          <w:tcPr>
            <w:tcW w:w="2600" w:type="dxa"/>
          </w:tcPr>
          <w:p>
            <w:pPr>
              <w:spacing w:before="40" w:after="40" w:line="252" w:lineRule="auto"/>
            </w:pPr>
            <w:r>
              <w:rPr>
                <w:sz w:val="20"/>
                <w:szCs w:val="20"/>
              </w:rPr>
              <w:t xml:space="preserve">Examples of mandatory notifications under Section 57</w:t>
            </w:r>
          </w:p>
        </w:tc>
        <w:tc>
          <w:tcPr>
            <w:tcW w:w="4826" w:type="dxa"/>
          </w:tcPr>
          <w:p>
            <w:pPr>
              <w:spacing w:before="40" w:after="40" w:line="252" w:lineRule="auto"/>
            </w:pPr>
            <w:r>
              <w:rPr>
                <w:sz w:val="20"/>
                <w:szCs w:val="20"/>
              </w:rPr>
              <w:t xml:space="preserve">Case studies showing how IBAC has assessed and responded to notifications</w:t>
            </w:r>
          </w:p>
        </w:tc>
        <w:tc>
          <w:tcPr>
            <w:tcW w:w="1600" w:type="dxa"/>
          </w:tcPr>
          <w:p>
            <w:pPr>
              <w:spacing w:before="40" w:after="40" w:line="252" w:lineRule="auto"/>
              <w:jc w:val="center"/>
            </w:pPr>
            <w:hyperlink r:id="rId315" w:history="1">
              <w:r>
                <w:rPr>
                  <w:rStyle w:val="Hyperlink"/>
                  <w:sz w:val="20"/>
                  <w:szCs w:val="20"/>
                </w:rPr>
                <w:t xml:space="preserve">Link</w:t>
              </w:r>
            </w:hyperlink>
          </w:p>
        </w:tc>
      </w:tr>
    </w:tbl>
    <w:p>
      <w:pPr>
        <w:pStyle w:val="Heading1"/>
      </w:pPr>
      <w:bookmarkStart w:id="9109" w:name="_Toc91000009"/>
      <w:r>
        <w:t xml:space="preserve">Intranet Documents</w:t>
      </w:r>
      <w:bookmarkEnd w:id="9109"/>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500"/>
        <w:gridCol w:w="4526"/>
      </w:tblGrid>
      <w:tr>
        <w:trPr>
          <w:cantSplit/>
          <w:tblHeader/>
        </w:trPr>
        <w:tc>
          <w:tcPr>
            <w:tcW w:w="4500" w:type="dxa"/>
            <w:shd w:val="clear" w:color="auto" w:fill="F68B1F"/>
          </w:tcPr>
          <w:p>
            <w:pPr>
              <w:keepNext/>
              <w:spacing w:before="40" w:after="40" w:line="252" w:lineRule="auto"/>
            </w:pPr>
            <w:r>
              <w:rPr>
                <w:b/>
                <w:bCs/>
                <w:color w:val="FFFFFF"/>
                <w:sz w:val="20"/>
                <w:szCs w:val="20"/>
              </w:rPr>
              <w:t xml:space="preserve">Document</w:t>
            </w:r>
          </w:p>
        </w:tc>
        <w:tc>
          <w:tcPr>
            <w:tcW w:w="4526" w:type="dxa"/>
            <w:shd w:val="clear" w:color="auto" w:fill="F68B1F"/>
          </w:tcPr>
          <w:p>
            <w:pPr>
              <w:keepNext/>
              <w:spacing w:before="40" w:after="40" w:line="252" w:lineRule="auto"/>
            </w:pPr>
            <w:r>
              <w:rPr>
                <w:b/>
                <w:bCs/>
                <w:color w:val="FFFFFF"/>
                <w:sz w:val="20"/>
                <w:szCs w:val="20"/>
              </w:rPr>
              <w:t xml:space="preserve">Location</w:t>
            </w:r>
          </w:p>
        </w:tc>
      </w:tr>
      <w:tr>
        <w:trPr>
          <w:cantSplit/>
        </w:trPr>
        <w:tc>
          <w:tcPr>
            <w:tcW w:w="4500" w:type="dxa"/>
          </w:tcPr>
          <w:p>
            <w:pPr>
              <w:spacing w:before="40" w:after="40" w:line="252" w:lineRule="auto"/>
            </w:pPr>
            <w:r>
              <w:rPr>
                <w:b/>
                <w:bCs/>
                <w:sz w:val="20"/>
                <w:szCs w:val="20"/>
              </w:rPr>
              <w:t xml:space="preserve">Fraud and Corruption Policy</w:t>
            </w:r>
          </w:p>
        </w:tc>
        <w:tc>
          <w:tcPr>
            <w:tcW w:w="4526" w:type="dxa"/>
          </w:tcPr>
          <w:p>
            <w:pPr>
              <w:spacing w:before="40" w:after="40" w:line="252" w:lineRule="auto"/>
            </w:pPr>
            <w:hyperlink r:id="rId316" w:history="1">
              <w:r>
                <w:rPr>
                  <w:rStyle w:val="Hyperlink"/>
                  <w:sz w:val="20"/>
                  <w:szCs w:val="20"/>
                </w:rPr>
                <w:t xml:space="preserve">Link</w:t>
              </w:r>
            </w:hyperlink>
          </w:p>
        </w:tc>
      </w:tr>
      <w:tr>
        <w:trPr>
          <w:cantSplit/>
        </w:trPr>
        <w:tc>
          <w:tcPr>
            <w:tcW w:w="4500" w:type="dxa"/>
          </w:tcPr>
          <w:p>
            <w:pPr>
              <w:spacing w:before="40" w:after="40" w:line="252" w:lineRule="auto"/>
            </w:pPr>
            <w:r>
              <w:rPr>
                <w:b/>
                <w:bCs/>
                <w:sz w:val="20"/>
                <w:szCs w:val="20"/>
              </w:rPr>
              <w:t xml:space="preserve">Public Interest Disclosures (Whistle Blowing) Procedures</w:t>
            </w:r>
          </w:p>
        </w:tc>
        <w:tc>
          <w:tcPr>
            <w:tcW w:w="4526" w:type="dxa"/>
          </w:tcPr>
          <w:p>
            <w:pPr>
              <w:spacing w:before="40" w:after="40" w:line="252" w:lineRule="auto"/>
            </w:pPr>
            <w:hyperlink r:id="rId317" w:history="1">
              <w:r>
                <w:rPr>
                  <w:rStyle w:val="Hyperlink"/>
                  <w:sz w:val="20"/>
                  <w:szCs w:val="20"/>
                </w:rPr>
                <w:t xml:space="preserve">Link</w:t>
              </w:r>
            </w:hyperlink>
          </w:p>
        </w:tc>
      </w:tr>
      <w:tr>
        <w:trPr>
          <w:cantSplit/>
        </w:trPr>
        <w:tc>
          <w:tcPr>
            <w:tcW w:w="4500" w:type="dxa"/>
          </w:tcPr>
          <w:p>
            <w:pPr>
              <w:spacing w:before="40" w:after="40" w:line="252" w:lineRule="auto"/>
            </w:pPr>
            <w:r>
              <w:rPr>
                <w:b/>
                <w:bCs/>
                <w:sz w:val="20"/>
                <w:szCs w:val="20"/>
              </w:rPr>
              <w:t xml:space="preserve">Integrity Framework</w:t>
            </w:r>
          </w:p>
        </w:tc>
        <w:tc>
          <w:tcPr>
            <w:tcW w:w="4526" w:type="dxa"/>
          </w:tcPr>
          <w:p>
            <w:pPr>
              <w:spacing w:before="40" w:after="40" w:line="252" w:lineRule="auto"/>
            </w:pPr>
            <w:hyperlink r:id="rId318" w:history="1">
              <w:r>
                <w:rPr>
                  <w:rStyle w:val="Hyperlink"/>
                  <w:sz w:val="20"/>
                  <w:szCs w:val="20"/>
                </w:rPr>
                <w:t xml:space="preserve">Link</w:t>
              </w:r>
            </w:hyperlink>
          </w:p>
        </w:tc>
      </w:tr>
      <w:tr>
        <w:trPr>
          <w:cantSplit/>
        </w:trPr>
        <w:tc>
          <w:tcPr>
            <w:tcW w:w="4500" w:type="dxa"/>
          </w:tcPr>
          <w:p>
            <w:pPr>
              <w:spacing w:before="40" w:after="40" w:line="252" w:lineRule="auto"/>
            </w:pPr>
            <w:r>
              <w:rPr>
                <w:b/>
                <w:bCs/>
                <w:sz w:val="20"/>
                <w:szCs w:val="20"/>
              </w:rPr>
              <w:t xml:space="preserve">Policy Bookcase</w:t>
            </w:r>
          </w:p>
        </w:tc>
        <w:tc>
          <w:tcPr>
            <w:tcW w:w="4526" w:type="dxa"/>
          </w:tcPr>
          <w:p>
            <w:pPr>
              <w:spacing w:before="40" w:after="40" w:line="252" w:lineRule="auto"/>
            </w:pPr>
            <w:hyperlink r:id="rId319" w:history="1">
              <w:r>
                <w:rPr>
                  <w:rStyle w:val="Hyperlink"/>
                  <w:sz w:val="20"/>
                  <w:szCs w:val="20"/>
                </w:rPr>
                <w:t xml:space="preserve">Link</w:t>
              </w:r>
            </w:hyperlink>
          </w:p>
        </w:tc>
      </w:tr>
    </w:tbl>
    <w:p>
      <w:pPr>
        <w:pStyle w:val="Heading1"/>
      </w:pPr>
      <w:bookmarkStart w:id="9110" w:name="_Toc91000010"/>
      <w:r>
        <w:t xml:space="preserve">Contact IBAC</w:t>
      </w:r>
      <w:bookmarkEnd w:id="9110"/>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1800"/>
        <w:gridCol w:w="7226"/>
      </w:tblGrid>
      <w:tr>
        <w:trPr>
          <w:cantSplit/>
          <w:tblHeader/>
        </w:trPr>
        <w:tc>
          <w:tcPr>
            <w:tcW w:w="1800" w:type="dxa"/>
            <w:shd w:val="clear" w:color="auto" w:fill="F68B1F"/>
          </w:tcPr>
          <w:p>
            <w:pPr>
              <w:keepNext/>
              <w:spacing w:before="40" w:after="40" w:line="252" w:lineRule="auto"/>
            </w:pPr>
            <w:r>
              <w:rPr>
                <w:b/>
                <w:bCs/>
                <w:color w:val="FFFFFF"/>
                <w:sz w:val="20"/>
                <w:szCs w:val="20"/>
              </w:rPr>
              <w:t xml:space="preserve">Contact Method</w:t>
            </w:r>
          </w:p>
        </w:tc>
        <w:tc>
          <w:tcPr>
            <w:tcW w:w="7226" w:type="dxa"/>
            <w:shd w:val="clear" w:color="auto" w:fill="F68B1F"/>
          </w:tcPr>
          <w:p>
            <w:pPr>
              <w:keepNext/>
              <w:spacing w:before="40" w:after="40" w:line="252" w:lineRule="auto"/>
            </w:pPr>
            <w:r>
              <w:rPr>
                <w:b/>
                <w:bCs/>
                <w:color w:val="FFFFFF"/>
                <w:sz w:val="20"/>
                <w:szCs w:val="20"/>
              </w:rPr>
              <w:t xml:space="preserve">Details</w:t>
            </w:r>
          </w:p>
        </w:tc>
      </w:tr>
      <w:tr>
        <w:trPr>
          <w:cantSplit/>
        </w:trPr>
        <w:tc>
          <w:tcPr>
            <w:tcW w:w="1800" w:type="dxa"/>
          </w:tcPr>
          <w:p>
            <w:pPr>
              <w:spacing w:before="40" w:after="40" w:line="252" w:lineRule="auto"/>
            </w:pPr>
            <w:r>
              <w:rPr>
                <w:b/>
                <w:bCs/>
                <w:sz w:val="20"/>
                <w:szCs w:val="20"/>
              </w:rPr>
              <w:t xml:space="preserve">Phone</w:t>
            </w:r>
          </w:p>
        </w:tc>
        <w:tc>
          <w:tcPr>
            <w:tcW w:w="7226" w:type="dxa"/>
          </w:tcPr>
          <w:p>
            <w:pPr>
              <w:spacing w:before="40" w:after="40" w:line="252" w:lineRule="auto"/>
            </w:pPr>
            <w:r>
              <w:rPr>
                <w:sz w:val="20"/>
                <w:szCs w:val="20"/>
              </w:rPr>
              <w:t xml:space="preserve">1300 735 135 (10am – 4pm, Monday – Friday)</w:t>
            </w:r>
          </w:p>
        </w:tc>
      </w:tr>
      <w:tr>
        <w:trPr>
          <w:cantSplit/>
        </w:trPr>
        <w:tc>
          <w:tcPr>
            <w:tcW w:w="1800" w:type="dxa"/>
          </w:tcPr>
          <w:p>
            <w:pPr>
              <w:spacing w:before="40" w:after="40" w:line="252" w:lineRule="auto"/>
            </w:pPr>
            <w:r>
              <w:rPr>
                <w:b/>
                <w:bCs/>
                <w:sz w:val="20"/>
                <w:szCs w:val="20"/>
              </w:rPr>
              <w:t xml:space="preserve">Email</w:t>
            </w:r>
          </w:p>
        </w:tc>
        <w:tc>
          <w:tcPr>
            <w:tcW w:w="7226" w:type="dxa"/>
          </w:tcPr>
          <w:p>
            <w:pPr>
              <w:spacing w:before="40" w:after="40" w:line="252" w:lineRule="auto"/>
            </w:pPr>
            <w:hyperlink r:id="rId320" w:history="1">
              <w:r>
                <w:rPr>
                  <w:rStyle w:val="Hyperlink"/>
                  <w:sz w:val="20"/>
                  <w:szCs w:val="20"/>
                </w:rPr>
                <w:t xml:space="preserve">info@ibac.vic.gov.au</w:t>
              </w:r>
            </w:hyperlink>
          </w:p>
        </w:tc>
      </w:tr>
      <w:tr>
        <w:trPr>
          <w:cantSplit/>
        </w:trPr>
        <w:tc>
          <w:tcPr>
            <w:tcW w:w="1800" w:type="dxa"/>
          </w:tcPr>
          <w:p>
            <w:pPr>
              <w:spacing w:before="40" w:after="40" w:line="252" w:lineRule="auto"/>
            </w:pPr>
            <w:r>
              <w:rPr>
                <w:b/>
                <w:bCs/>
                <w:sz w:val="20"/>
                <w:szCs w:val="20"/>
              </w:rPr>
              <w:t xml:space="preserve">Website</w:t>
            </w:r>
          </w:p>
        </w:tc>
        <w:tc>
          <w:tcPr>
            <w:tcW w:w="7226" w:type="dxa"/>
          </w:tcPr>
          <w:p>
            <w:pPr>
              <w:spacing w:before="40" w:after="40" w:line="252" w:lineRule="auto"/>
            </w:pPr>
            <w:hyperlink r:id="rId321" w:history="1">
              <w:r>
                <w:rPr>
                  <w:rStyle w:val="Hyperlink"/>
                  <w:sz w:val="20"/>
                  <w:szCs w:val="20"/>
                </w:rPr>
                <w:t xml:space="preserve">www.ibac.vic.gov.au</w:t>
              </w:r>
            </w:hyperlink>
          </w:p>
        </w:tc>
      </w:tr>
      <w:tr>
        <w:trPr>
          <w:cantSplit/>
        </w:trPr>
        <w:tc>
          <w:tcPr>
            <w:tcW w:w="1800" w:type="dxa"/>
          </w:tcPr>
          <w:p>
            <w:pPr>
              <w:spacing w:before="40" w:after="40" w:line="252" w:lineRule="auto"/>
            </w:pPr>
            <w:r>
              <w:rPr>
                <w:b/>
                <w:bCs/>
                <w:sz w:val="20"/>
                <w:szCs w:val="20"/>
              </w:rPr>
              <w:t xml:space="preserve">Address</w:t>
            </w:r>
          </w:p>
        </w:tc>
        <w:tc>
          <w:tcPr>
            <w:tcW w:w="7226" w:type="dxa"/>
          </w:tcPr>
          <w:p>
            <w:pPr>
              <w:spacing w:before="40" w:after="40" w:line="252" w:lineRule="auto"/>
            </w:pPr>
            <w:r>
              <w:rPr>
                <w:sz w:val="20"/>
                <w:szCs w:val="20"/>
              </w:rPr>
              <w:t xml:space="preserve">Level 1, North Tower, 459 Collins Street, Melbourne VIC 3000</w:t>
            </w:r>
          </w:p>
        </w:tc>
      </w:tr>
      <w:tr>
        <w:trPr>
          <w:cantSplit/>
        </w:trPr>
        <w:tc>
          <w:tcPr>
            <w:tcW w:w="1800" w:type="dxa"/>
          </w:tcPr>
          <w:p>
            <w:pPr>
              <w:spacing w:before="40" w:after="40" w:line="252" w:lineRule="auto"/>
            </w:pPr>
            <w:r>
              <w:rPr>
                <w:b/>
                <w:bCs/>
                <w:sz w:val="20"/>
                <w:szCs w:val="20"/>
              </w:rPr>
              <w:t xml:space="preserve">Post</w:t>
            </w:r>
          </w:p>
        </w:tc>
        <w:tc>
          <w:tcPr>
            <w:tcW w:w="7226" w:type="dxa"/>
          </w:tcPr>
          <w:p>
            <w:pPr>
              <w:spacing w:before="40" w:after="40" w:line="252" w:lineRule="auto"/>
            </w:pPr>
            <w:r>
              <w:rPr>
                <w:sz w:val="20"/>
                <w:szCs w:val="20"/>
              </w:rPr>
              <w:t xml:space="preserve">GPO Box 24234, Melbourne VIC 3001</w:t>
            </w:r>
          </w:p>
        </w:tc>
      </w:tr>
    </w:tbl>
    <w:p>
      <w:pPr>
        <w:pStyle w:val="Heading1"/>
      </w:pPr>
      <w:bookmarkStart w:id="9111" w:name="_Toc91000011"/>
      <w:r>
        <w:t xml:space="preserve">Internal Contacts</w:t>
      </w:r>
      <w:bookmarkEnd w:id="9111"/>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1950"/>
        <w:gridCol w:w="1150"/>
        <w:gridCol w:w="2026"/>
        <w:gridCol w:w="3900"/>
      </w:tblGrid>
      <w:tr>
        <w:trPr>
          <w:cantSplit/>
          <w:tblHeader/>
        </w:trPr>
        <w:tc>
          <w:tcPr>
            <w:tcW w:w="1950" w:type="dxa"/>
            <w:shd w:val="clear" w:color="auto" w:fill="F68B1F"/>
          </w:tcPr>
          <w:p>
            <w:pPr>
              <w:keepNext/>
              <w:spacing w:before="40" w:after="40" w:line="252" w:lineRule="auto"/>
            </w:pPr>
            <w:r>
              <w:rPr>
                <w:b/>
                <w:bCs/>
                <w:color w:val="FFFFFF"/>
                <w:sz w:val="20"/>
                <w:szCs w:val="20"/>
              </w:rPr>
              <w:t xml:space="preserve">Role</w:t>
            </w:r>
          </w:p>
        </w:tc>
        <w:tc>
          <w:tcPr>
            <w:tcW w:w="1150" w:type="dxa"/>
            <w:shd w:val="clear" w:color="auto" w:fill="F68B1F"/>
          </w:tcPr>
          <w:p>
            <w:pPr>
              <w:keepNext/>
              <w:spacing w:before="40" w:after="40" w:line="252" w:lineRule="auto"/>
            </w:pPr>
            <w:r>
              <w:rPr>
                <w:b/>
                <w:bCs/>
                <w:color w:val="FFFFFF"/>
                <w:sz w:val="20"/>
                <w:szCs w:val="20"/>
              </w:rPr>
              <w:t xml:space="preserve">Name</w:t>
            </w:r>
          </w:p>
        </w:tc>
        <w:tc>
          <w:tcPr>
            <w:tcW w:w="2026" w:type="dxa"/>
            <w:shd w:val="clear" w:color="auto" w:fill="F68B1F"/>
          </w:tcPr>
          <w:p>
            <w:pPr>
              <w:keepNext/>
              <w:spacing w:before="40" w:after="40" w:line="252" w:lineRule="auto"/>
            </w:pPr>
            <w:r>
              <w:rPr>
                <w:b/>
                <w:bCs/>
                <w:color w:val="FFFFFF"/>
                <w:sz w:val="20"/>
                <w:szCs w:val="20"/>
              </w:rPr>
              <w:t xml:space="preserve">Contact For</w:t>
            </w:r>
          </w:p>
        </w:tc>
        <w:tc>
          <w:tcPr>
            <w:tcW w:w="3900" w:type="dxa"/>
            <w:shd w:val="clear" w:color="auto" w:fill="F68B1F"/>
          </w:tcPr>
          <w:p>
            <w:pPr>
              <w:keepNext/>
              <w:spacing w:before="40" w:after="40" w:line="252" w:lineRule="auto"/>
            </w:pPr>
            <w:r>
              <w:rPr>
                <w:b/>
                <w:bCs/>
                <w:color w:val="FFFFFF"/>
                <w:sz w:val="20"/>
                <w:szCs w:val="20"/>
              </w:rPr>
              <w:t xml:space="preserve">Email</w:t>
            </w:r>
          </w:p>
        </w:tc>
      </w:tr>
      <w:tr>
        <w:trPr>
          <w:cantSplit/>
        </w:trPr>
        <w:tc>
          <w:tcPr>
            <w:tcW w:w="1950" w:type="dxa"/>
          </w:tcPr>
          <w:p>
            <w:pPr>
              <w:spacing w:before="40" w:after="40" w:line="252" w:lineRule="auto"/>
            </w:pPr>
            <w:r>
              <w:rPr>
                <w:sz w:val="20"/>
                <w:szCs w:val="20"/>
              </w:rPr>
              <w:t xml:space="preserve">Governance Inbox</w:t>
            </w:r>
          </w:p>
        </w:tc>
        <w:tc>
          <w:tcPr>
            <w:tcW w:w="1150" w:type="dxa"/>
          </w:tcPr>
          <w:p>
            <w:pPr>
              <w:spacing w:before="40" w:after="40" w:line="252" w:lineRule="auto"/>
            </w:pPr>
            <w:r>
              <w:rPr>
                <w:sz w:val="20"/>
                <w:szCs w:val="20"/>
              </w:rPr>
              <w:t xml:space="preserve">-</w:t>
            </w:r>
          </w:p>
        </w:tc>
        <w:tc>
          <w:tcPr>
            <w:tcW w:w="2026" w:type="dxa"/>
          </w:tcPr>
          <w:p>
            <w:pPr>
              <w:spacing w:before="40" w:after="40" w:line="252" w:lineRule="auto"/>
            </w:pPr>
            <w:r>
              <w:rPr>
                <w:sz w:val="20"/>
                <w:szCs w:val="20"/>
              </w:rPr>
              <w:t xml:space="preserve">General enquiries about the reporting corruption process</w:t>
            </w:r>
          </w:p>
        </w:tc>
        <w:tc>
          <w:tcPr>
            <w:tcW w:w="3900" w:type="dxa"/>
          </w:tcPr>
          <w:p>
            <w:pPr>
              <w:spacing w:before="40" w:after="40" w:line="252" w:lineRule="auto"/>
            </w:pPr>
            <w:hyperlink r:id="rId322" w:history="1">
              <w:r>
                <w:rPr>
                  <w:rStyle w:val="Hyperlink"/>
                  <w:sz w:val="20"/>
                  <w:szCs w:val="20"/>
                </w:rPr>
                <w:t xml:space="preserve">governance@portphillip.vic.gov.au</w:t>
              </w:r>
            </w:hyperlink>
          </w:p>
        </w:tc>
      </w:tr>
      <w:tr>
        <w:trPr>
          <w:cantSplit/>
        </w:trPr>
        <w:tc>
          <w:tcPr>
            <w:tcW w:w="1950" w:type="dxa"/>
          </w:tcPr>
          <w:p>
            <w:pPr>
              <w:spacing w:before="40" w:after="40" w:line="252" w:lineRule="auto"/>
            </w:pPr>
            <w:r>
              <w:rPr>
                <w:sz w:val="20"/>
                <w:szCs w:val="20"/>
              </w:rPr>
              <w:t xml:space="preserve">Manager, Communications and Governance</w:t>
            </w:r>
          </w:p>
        </w:tc>
        <w:tc>
          <w:tcPr>
            <w:tcW w:w="1150" w:type="dxa"/>
          </w:tcPr>
          <w:p>
            <w:pPr>
              <w:spacing w:before="40" w:after="40" w:line="252" w:lineRule="auto"/>
            </w:pPr>
            <w:r>
              <w:rPr>
                <w:sz w:val="20"/>
                <w:szCs w:val="20"/>
              </w:rPr>
              <w:t xml:space="preserve">James Gullan</w:t>
            </w:r>
          </w:p>
        </w:tc>
        <w:tc>
          <w:tcPr>
            <w:tcW w:w="2026" w:type="dxa"/>
          </w:tcPr>
          <w:p>
            <w:pPr>
              <w:spacing w:before="40" w:after="40" w:line="252" w:lineRule="auto"/>
            </w:pPr>
            <w:r>
              <w:rPr>
                <w:sz w:val="20"/>
                <w:szCs w:val="20"/>
              </w:rPr>
              <w:t xml:space="preserve">Public Interest Disclosures (Whistleblower) matters.</w:t>
            </w:r>
          </w:p>
        </w:tc>
        <w:tc>
          <w:tcPr>
            <w:tcW w:w="3900" w:type="dxa"/>
          </w:tcPr>
          <w:p>
            <w:pPr>
              <w:spacing w:before="40" w:after="40" w:line="252" w:lineRule="auto"/>
            </w:pPr>
            <w:hyperlink r:id="rId323" w:history="1">
              <w:r>
                <w:rPr>
                  <w:rStyle w:val="Hyperlink"/>
                  <w:sz w:val="20"/>
                  <w:szCs w:val="20"/>
                </w:rPr>
                <w:t xml:space="preserve">james.gullan@portphillip.vic.gov.au</w:t>
              </w:r>
            </w:hyperlink>
          </w:p>
        </w:tc>
      </w:tr>
      <w:tr>
        <w:trPr>
          <w:cantSplit/>
        </w:trPr>
        <w:tc>
          <w:tcPr>
            <w:tcW w:w="1950" w:type="dxa"/>
          </w:tcPr>
          <w:p>
            <w:pPr>
              <w:spacing w:before="40" w:after="40" w:line="252" w:lineRule="auto"/>
            </w:pPr>
            <w:r>
              <w:rPr>
                <w:sz w:val="20"/>
                <w:szCs w:val="20"/>
              </w:rPr>
              <w:t xml:space="preserve">Fraud and Corruption Register Manager</w:t>
            </w:r>
          </w:p>
        </w:tc>
        <w:tc>
          <w:tcPr>
            <w:tcW w:w="1150" w:type="dxa"/>
          </w:tcPr>
          <w:p>
            <w:pPr>
              <w:spacing w:before="40" w:after="40" w:line="252" w:lineRule="auto"/>
            </w:pPr>
            <w:r>
              <w:rPr>
                <w:sz w:val="20"/>
                <w:szCs w:val="20"/>
              </w:rPr>
              <w:t xml:space="preserve">Julie Snowden</w:t>
            </w:r>
          </w:p>
        </w:tc>
        <w:tc>
          <w:tcPr>
            <w:tcW w:w="2026" w:type="dxa"/>
          </w:tcPr>
          <w:p>
            <w:pPr>
              <w:spacing w:before="40" w:after="40" w:line="252" w:lineRule="auto"/>
            </w:pPr>
            <w:r>
              <w:rPr>
                <w:sz w:val="20"/>
                <w:szCs w:val="20"/>
              </w:rPr>
              <w:t xml:space="preserve">Reporting suspected corruption; preliminary assessments; fraud and corruption register</w:t>
            </w:r>
          </w:p>
        </w:tc>
        <w:tc>
          <w:tcPr>
            <w:tcW w:w="3900" w:type="dxa"/>
          </w:tcPr>
          <w:p>
            <w:pPr>
              <w:spacing w:before="40" w:after="40" w:line="252" w:lineRule="auto"/>
            </w:pPr>
            <w:hyperlink r:id="rId324" w:history="1">
              <w:r>
                <w:rPr>
                  <w:rStyle w:val="Hyperlink"/>
                  <w:sz w:val="20"/>
                  <w:szCs w:val="20"/>
                </w:rPr>
                <w:t xml:space="preserve">julie.snowden@portphillip.vic.gov.au</w:t>
              </w:r>
            </w:hyperlink>
          </w:p>
        </w:tc>
      </w:tr>
      <w:tr>
        <w:trPr>
          <w:cantSplit/>
        </w:trPr>
        <w:tc>
          <w:tcPr>
            <w:tcW w:w="1950" w:type="dxa"/>
          </w:tcPr>
          <w:p>
            <w:pPr>
              <w:spacing w:before="40" w:after="40" w:line="252" w:lineRule="auto"/>
            </w:pPr>
            <w:r>
              <w:rPr>
                <w:sz w:val="20"/>
                <w:szCs w:val="20"/>
              </w:rPr>
              <w:t xml:space="preserve">Chief People Officer</w:t>
            </w:r>
          </w:p>
        </w:tc>
        <w:tc>
          <w:tcPr>
            <w:tcW w:w="1150" w:type="dxa"/>
          </w:tcPr>
          <w:p>
            <w:pPr>
              <w:spacing w:before="40" w:after="40" w:line="252" w:lineRule="auto"/>
            </w:pPr>
            <w:r>
              <w:rPr>
                <w:sz w:val="20"/>
                <w:szCs w:val="20"/>
              </w:rPr>
              <w:t xml:space="preserve">Daniel Lew</w:t>
            </w:r>
          </w:p>
        </w:tc>
        <w:tc>
          <w:tcPr>
            <w:tcW w:w="2026" w:type="dxa"/>
          </w:tcPr>
          <w:p>
            <w:pPr>
              <w:spacing w:before="40" w:after="40" w:line="252" w:lineRule="auto"/>
            </w:pPr>
            <w:r>
              <w:rPr>
                <w:sz w:val="20"/>
                <w:szCs w:val="20"/>
              </w:rPr>
              <w:t xml:space="preserve">HR-related integrity matters; internal investigations</w:t>
            </w:r>
          </w:p>
        </w:tc>
        <w:tc>
          <w:tcPr>
            <w:tcW w:w="3900" w:type="dxa"/>
          </w:tcPr>
          <w:p>
            <w:pPr>
              <w:spacing w:before="40" w:after="40" w:line="252" w:lineRule="auto"/>
            </w:pPr>
            <w:hyperlink r:id="rId325" w:history="1">
              <w:r>
                <w:rPr>
                  <w:rStyle w:val="Hyperlink"/>
                  <w:sz w:val="20"/>
                  <w:szCs w:val="20"/>
                </w:rPr>
                <w:t xml:space="preserve">daniel.lew@portphillip.vic.gov.au</w:t>
              </w:r>
            </w:hyperlink>
          </w:p>
        </w:tc>
      </w:tr>
    </w:tbl>
    <w:p>
      <w:pPr>
        <w:pStyle w:val="Heading1"/>
      </w:pPr>
      <w:bookmarkStart w:id="9112" w:name="_Toc91000012"/>
      <w:r>
        <w:t xml:space="preserve">Definitions</w:t>
      </w:r>
      <w:bookmarkEnd w:id="9112"/>
    </w:p>
    <w:tbl>
      <w:tblPr>
        <w:tblStyle w:val="TableGrid"/>
        <w:tblW w:w="9026"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1600"/>
        <w:gridCol w:w="4426"/>
        <w:gridCol w:w="3000"/>
      </w:tblGrid>
      <w:tr>
        <w:trPr>
          <w:cantSplit/>
          <w:tblHeader/>
        </w:trPr>
        <w:tc>
          <w:tcPr>
            <w:tcW w:w="1600" w:type="dxa"/>
            <w:shd w:val="clear" w:color="auto" w:fill="F68B1F"/>
          </w:tcPr>
          <w:p>
            <w:pPr>
              <w:keepNext/>
              <w:spacing w:before="40" w:after="40" w:line="252" w:lineRule="auto"/>
            </w:pPr>
            <w:r>
              <w:rPr>
                <w:b/>
                <w:bCs/>
                <w:color w:val="FFFFFF"/>
                <w:sz w:val="20"/>
                <w:szCs w:val="20"/>
              </w:rPr>
              <w:t xml:space="preserve">Term</w:t>
            </w:r>
          </w:p>
        </w:tc>
        <w:tc>
          <w:tcPr>
            <w:tcW w:w="4426" w:type="dxa"/>
            <w:shd w:val="clear" w:color="auto" w:fill="F68B1F"/>
          </w:tcPr>
          <w:p>
            <w:pPr>
              <w:keepNext/>
              <w:spacing w:before="40" w:after="40" w:line="252" w:lineRule="auto"/>
            </w:pPr>
            <w:r>
              <w:rPr>
                <w:b/>
                <w:bCs/>
                <w:color w:val="FFFFFF"/>
                <w:sz w:val="20"/>
                <w:szCs w:val="20"/>
              </w:rPr>
              <w:t xml:space="preserve">Definition</w:t>
            </w:r>
          </w:p>
        </w:tc>
        <w:tc>
          <w:tcPr>
            <w:tcW w:w="3000" w:type="dxa"/>
            <w:shd w:val="clear" w:color="auto" w:fill="F68B1F"/>
          </w:tcPr>
          <w:p>
            <w:pPr>
              <w:keepNext/>
              <w:spacing w:before="40" w:after="40" w:line="252" w:lineRule="auto"/>
            </w:pPr>
            <w:r>
              <w:rPr>
                <w:b/>
                <w:bCs/>
                <w:color w:val="FFFFFF"/>
                <w:sz w:val="20"/>
                <w:szCs w:val="20"/>
              </w:rPr>
              <w:t xml:space="preserve">Legislative / Policy Reference</w:t>
            </w:r>
          </w:p>
        </w:tc>
      </w:tr>
      <w:tr>
        <w:trPr>
          <w:cantSplit/>
        </w:trPr>
        <w:tc>
          <w:tcPr>
            <w:tcW w:w="1600" w:type="dxa"/>
          </w:tcPr>
          <w:p>
            <w:pPr>
              <w:spacing w:before="40" w:after="40" w:line="252" w:lineRule="auto"/>
            </w:pPr>
            <w:r>
              <w:rPr>
                <w:sz w:val="20"/>
                <w:szCs w:val="20"/>
              </w:rPr>
              <w:t xml:space="preserve">Corruption</w:t>
            </w:r>
          </w:p>
        </w:tc>
        <w:tc>
          <w:tcPr>
            <w:tcW w:w="4426" w:type="dxa"/>
          </w:tcPr>
          <w:p>
            <w:pPr>
              <w:spacing w:before="40" w:after="40" w:line="252" w:lineRule="auto"/>
            </w:pPr>
            <w:r>
              <w:rPr>
                <w:sz w:val="20"/>
                <w:szCs w:val="20"/>
              </w:rPr>
              <w:t xml:space="preserve">See above.</w:t>
            </w:r>
          </w:p>
          <w:p>
            <w:pPr>
              <w:spacing w:before="40" w:after="40" w:line="252" w:lineRule="auto"/>
            </w:pPr>
            <w:r>
              <w:rPr>
                <w:sz w:val="20"/>
                <w:szCs w:val="20"/>
              </w:rPr>
              <w:t xml:space="preserve">It encompasses improper actions or inactions by public officers, as well as attempts by private individuals to improperly influence Council decisions.</w:t>
            </w:r>
          </w:p>
        </w:tc>
        <w:tc>
          <w:tcPr>
            <w:tcW w:w="3000" w:type="dxa"/>
          </w:tcPr>
          <w:p>
            <w:pPr>
              <w:spacing w:before="40" w:after="40" w:line="252" w:lineRule="auto"/>
            </w:pPr>
            <w:r>
              <w:rPr>
                <w:i/>
                <w:iCs/>
                <w:sz w:val="20"/>
                <w:szCs w:val="20"/>
              </w:rPr>
              <w:t xml:space="preserve">IBAC Act 2011 (Vic)</w:t>
            </w:r>
            <w:r>
              <w:rPr>
                <w:sz w:val="20"/>
                <w:szCs w:val="20"/>
              </w:rPr>
              <w:t xml:space="preserve">; Council Fraud &amp; Corruption Policy</w:t>
            </w:r>
          </w:p>
        </w:tc>
      </w:tr>
      <w:tr>
        <w:trPr>
          <w:cantSplit/>
        </w:trPr>
        <w:tc>
          <w:tcPr>
            <w:tcW w:w="1600" w:type="dxa"/>
          </w:tcPr>
          <w:p>
            <w:pPr>
              <w:spacing w:before="40" w:after="40" w:line="252" w:lineRule="auto"/>
            </w:pPr>
            <w:r>
              <w:rPr>
                <w:sz w:val="20"/>
                <w:szCs w:val="20"/>
              </w:rPr>
              <w:t xml:space="preserve">Fraud</w:t>
            </w:r>
          </w:p>
        </w:tc>
        <w:tc>
          <w:tcPr>
            <w:tcW w:w="4426" w:type="dxa"/>
          </w:tcPr>
          <w:p>
            <w:pPr>
              <w:spacing w:before="40" w:after="40" w:line="252" w:lineRule="auto"/>
            </w:pPr>
            <w:r>
              <w:rPr>
                <w:sz w:val="20"/>
                <w:szCs w:val="20"/>
              </w:rPr>
              <w:t xml:space="preserve">Dishonest activity involving deception that causes actual or potential financial loss. This includes theft of money or property, falsification of documents, and the improper use of information or position for personal benefit.</w:t>
            </w:r>
          </w:p>
        </w:tc>
        <w:tc>
          <w:tcPr>
            <w:tcW w:w="3000" w:type="dxa"/>
          </w:tcPr>
          <w:p>
            <w:pPr>
              <w:spacing w:before="40" w:after="40" w:line="252" w:lineRule="auto"/>
            </w:pPr>
            <w:r>
              <w:rPr>
                <w:i/>
                <w:iCs/>
                <w:sz w:val="20"/>
                <w:szCs w:val="20"/>
              </w:rPr>
              <w:t xml:space="preserve">AS8001:2021 Fraud &amp; Corruption Control</w:t>
            </w:r>
            <w:r>
              <w:rPr>
                <w:sz w:val="20"/>
                <w:szCs w:val="20"/>
              </w:rPr>
              <w:t xml:space="preserve">; Council Fraud &amp; Corruption Policy</w:t>
            </w:r>
          </w:p>
        </w:tc>
      </w:tr>
      <w:tr>
        <w:trPr>
          <w:cantSplit/>
        </w:trPr>
        <w:tc>
          <w:tcPr>
            <w:tcW w:w="1600" w:type="dxa"/>
          </w:tcPr>
          <w:p>
            <w:pPr>
              <w:spacing w:before="40" w:after="40" w:line="252" w:lineRule="auto"/>
            </w:pPr>
            <w:r>
              <w:rPr>
                <w:sz w:val="20"/>
                <w:szCs w:val="20"/>
              </w:rPr>
              <w:t xml:space="preserve">IBAC</w:t>
            </w:r>
          </w:p>
        </w:tc>
        <w:tc>
          <w:tcPr>
            <w:tcW w:w="4426" w:type="dxa"/>
          </w:tcPr>
          <w:p>
            <w:pPr>
              <w:spacing w:before="40" w:after="40" w:line="252" w:lineRule="auto"/>
            </w:pPr>
            <w:r>
              <w:rPr>
                <w:sz w:val="20"/>
                <w:szCs w:val="20"/>
              </w:rPr>
              <w:t xml:space="preserve">The Independent Broad-based Anti-corruption Commission; Victoria’s independent agency responsible for preventing and exposing public sector corruption and police misconduct.</w:t>
            </w:r>
          </w:p>
        </w:tc>
        <w:tc>
          <w:tcPr>
            <w:tcW w:w="3000" w:type="dxa"/>
          </w:tcPr>
          <w:p>
            <w:pPr>
              <w:spacing w:before="40" w:after="40" w:line="252" w:lineRule="auto"/>
            </w:pPr>
            <w:r>
              <w:rPr>
                <w:i/>
                <w:iCs/>
                <w:sz w:val="20"/>
                <w:szCs w:val="20"/>
              </w:rPr>
              <w:t xml:space="preserve">IBAC Act 2011 (Vic)</w:t>
            </w:r>
          </w:p>
        </w:tc>
      </w:tr>
      <w:tr>
        <w:trPr>
          <w:cantSplit/>
        </w:trPr>
        <w:tc>
          <w:tcPr>
            <w:tcW w:w="1600" w:type="dxa"/>
          </w:tcPr>
          <w:p>
            <w:pPr>
              <w:spacing w:before="40" w:after="40" w:line="252" w:lineRule="auto"/>
            </w:pPr>
            <w:r>
              <w:rPr>
                <w:sz w:val="20"/>
                <w:szCs w:val="20"/>
              </w:rPr>
              <w:t xml:space="preserve">IBAC Act</w:t>
            </w:r>
          </w:p>
        </w:tc>
        <w:tc>
          <w:tcPr>
            <w:tcW w:w="4426" w:type="dxa"/>
          </w:tcPr>
          <w:p>
            <w:pPr>
              <w:spacing w:before="40" w:after="40" w:line="252" w:lineRule="auto"/>
            </w:pPr>
            <w:r>
              <w:rPr>
                <w:sz w:val="20"/>
                <w:szCs w:val="20"/>
              </w:rPr>
              <w:t xml:space="preserve">The Independent Broad-based Anti-corruption Commission Act 2011, which establishes IBAC's powers and sets out the mandatory reporting obligations for public sector bodies.</w:t>
            </w:r>
          </w:p>
        </w:tc>
        <w:tc>
          <w:tcPr>
            <w:tcW w:w="3000" w:type="dxa"/>
          </w:tcPr>
          <w:p>
            <w:pPr>
              <w:spacing w:before="40" w:after="40" w:line="252" w:lineRule="auto"/>
            </w:pPr>
            <w:r>
              <w:rPr>
                <w:i/>
                <w:iCs/>
                <w:sz w:val="20"/>
                <w:szCs w:val="20"/>
              </w:rPr>
              <w:t xml:space="preserve">IBAC Act 2011 (Vic)</w:t>
            </w:r>
          </w:p>
        </w:tc>
      </w:tr>
      <w:tr>
        <w:trPr>
          <w:cantSplit/>
        </w:trPr>
        <w:tc>
          <w:tcPr>
            <w:tcW w:w="1600" w:type="dxa"/>
          </w:tcPr>
          <w:p>
            <w:pPr>
              <w:spacing w:before="40" w:after="40" w:line="252" w:lineRule="auto"/>
            </w:pPr>
            <w:r>
              <w:rPr>
                <w:sz w:val="20"/>
                <w:szCs w:val="20"/>
              </w:rPr>
              <w:t xml:space="preserve">Public Interest Disclosure</w:t>
            </w:r>
          </w:p>
        </w:tc>
        <w:tc>
          <w:tcPr>
            <w:tcW w:w="4426" w:type="dxa"/>
          </w:tcPr>
          <w:p>
            <w:pPr>
              <w:spacing w:before="40" w:after="40" w:line="252" w:lineRule="auto"/>
            </w:pPr>
            <w:r>
              <w:rPr>
                <w:sz w:val="20"/>
                <w:szCs w:val="20"/>
              </w:rPr>
              <w:t xml:space="preserve">Previously known as 'whistleblowing,' a report made under the PID Act 2012 regarding improper conduct by a public officer or body, which provides specific legal protections (confidentiality and immunity) to the discloser.</w:t>
            </w:r>
          </w:p>
        </w:tc>
        <w:tc>
          <w:tcPr>
            <w:tcW w:w="3000" w:type="dxa"/>
          </w:tcPr>
          <w:p>
            <w:pPr>
              <w:spacing w:before="40" w:after="40" w:line="252" w:lineRule="auto"/>
            </w:pPr>
            <w:r>
              <w:rPr>
                <w:i/>
                <w:iCs/>
                <w:sz w:val="20"/>
                <w:szCs w:val="20"/>
              </w:rPr>
              <w:t xml:space="preserve">Public Interest Disclosures Act 2012 (Vic)</w:t>
            </w:r>
          </w:p>
        </w:tc>
      </w:tr>
      <w:tr>
        <w:trPr>
          <w:cantSplit/>
        </w:trPr>
        <w:tc>
          <w:tcPr>
            <w:tcW w:w="1600" w:type="dxa"/>
          </w:tcPr>
          <w:p>
            <w:pPr>
              <w:spacing w:before="40" w:after="40" w:line="252" w:lineRule="auto"/>
            </w:pPr>
            <w:r>
              <w:rPr>
                <w:sz w:val="20"/>
                <w:szCs w:val="20"/>
              </w:rPr>
              <w:t xml:space="preserve">Public Interest Disclosure Action</w:t>
            </w:r>
          </w:p>
        </w:tc>
        <w:tc>
          <w:tcPr>
            <w:tcW w:w="4426" w:type="dxa"/>
          </w:tcPr>
          <w:p>
            <w:pPr>
              <w:spacing w:before="40" w:after="40" w:line="252" w:lineRule="auto"/>
            </w:pPr>
            <w:r>
              <w:rPr>
                <w:sz w:val="20"/>
                <w:szCs w:val="20"/>
              </w:rPr>
              <w:t xml:space="preserve">The formal steps taken by the PID Coordinator to assess, manage, and investigate a disclosure in accordance with the confidentiality and protection provisions of the PID Act.</w:t>
            </w:r>
          </w:p>
        </w:tc>
        <w:tc>
          <w:tcPr>
            <w:tcW w:w="3000" w:type="dxa"/>
          </w:tcPr>
          <w:p>
            <w:pPr>
              <w:spacing w:before="40" w:after="40" w:line="252" w:lineRule="auto"/>
            </w:pPr>
            <w:r>
              <w:rPr>
                <w:i/>
                <w:iCs/>
                <w:sz w:val="20"/>
                <w:szCs w:val="20"/>
              </w:rPr>
              <w:t xml:space="preserve">Public Interest Disclosures Act 2012 (Vic)</w:t>
            </w:r>
          </w:p>
        </w:tc>
      </w:tr>
      <w:tr>
        <w:trPr>
          <w:cantSplit/>
        </w:trPr>
        <w:tc>
          <w:tcPr>
            <w:tcW w:w="1600" w:type="dxa"/>
          </w:tcPr>
          <w:p>
            <w:pPr>
              <w:spacing w:before="40" w:after="40" w:line="252" w:lineRule="auto"/>
            </w:pPr>
            <w:r>
              <w:rPr>
                <w:sz w:val="20"/>
                <w:szCs w:val="20"/>
              </w:rPr>
              <w:t xml:space="preserve">Section 57 Obligations</w:t>
            </w:r>
          </w:p>
        </w:tc>
        <w:tc>
          <w:tcPr>
            <w:tcW w:w="4426" w:type="dxa"/>
          </w:tcPr>
          <w:p>
            <w:pPr>
              <w:spacing w:before="40" w:after="40" w:line="252" w:lineRule="auto"/>
            </w:pPr>
            <w:r>
              <w:rPr>
                <w:sz w:val="20"/>
                <w:szCs w:val="20"/>
              </w:rPr>
              <w:t xml:space="preserve">A mandatory requirement under the IBAC Act 2011 for the CEO (as Principal Officer) to notify IBAC if they suspect, on reasonable grounds, that corrupt conduct has occurred.</w:t>
            </w:r>
          </w:p>
        </w:tc>
        <w:tc>
          <w:tcPr>
            <w:tcW w:w="3000" w:type="dxa"/>
          </w:tcPr>
          <w:p>
            <w:pPr>
              <w:spacing w:before="40" w:after="40" w:line="252" w:lineRule="auto"/>
            </w:pPr>
            <w:r>
              <w:rPr>
                <w:i/>
                <w:iCs/>
                <w:sz w:val="20"/>
                <w:szCs w:val="20"/>
              </w:rPr>
              <w:t xml:space="preserve">IBAC Act 2011 (Vic), Section 57</w:t>
            </w:r>
          </w:p>
        </w:tc>
      </w:tr>
    </w:tbl>
    <w:sectPr w:rsidR="00E305D7" w:rsidSect="00C607ED">
      <w:headerReference w:type="default" r:id="rId21"/>
      <w:footerReference w:type="default" r:id="rId22"/>
      <w:headerReference w:type="first" r:id="rId23"/>
      <w:pgSz w:w="11906" w:h="16838"/>
      <w:pgMar w:top="1134" w:right="1440" w:bottom="1440" w:left="1440" w:header="28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760A" w14:textId="77777777" w:rsidR="008B604E" w:rsidRDefault="008B604E" w:rsidP="003C2590">
      <w:pPr>
        <w:spacing w:after="0" w:line="240" w:lineRule="auto"/>
      </w:pPr>
      <w:r>
        <w:separator/>
      </w:r>
    </w:p>
    <w:p w14:paraId="733A4209" w14:textId="77777777" w:rsidR="008B604E" w:rsidRDefault="008B604E"/>
    <w:p w14:paraId="1D043C65" w14:textId="77777777" w:rsidR="008B604E" w:rsidRDefault="008B604E" w:rsidP="00614F7B"/>
  </w:endnote>
  <w:endnote w:type="continuationSeparator" w:id="0">
    <w:p w14:paraId="476CE56D" w14:textId="77777777" w:rsidR="008B604E" w:rsidRDefault="008B604E" w:rsidP="003C2590">
      <w:pPr>
        <w:spacing w:after="0" w:line="240" w:lineRule="auto"/>
      </w:pPr>
      <w:r>
        <w:continuationSeparator/>
      </w:r>
    </w:p>
    <w:p w14:paraId="37AA5067" w14:textId="77777777" w:rsidR="008B604E" w:rsidRDefault="008B604E"/>
    <w:p w14:paraId="1BDB560A" w14:textId="77777777" w:rsidR="008B604E" w:rsidRDefault="008B604E" w:rsidP="00614F7B"/>
  </w:endnote>
  <w:endnote w:type="continuationNotice" w:id="1">
    <w:p w14:paraId="025D9266" w14:textId="77777777" w:rsidR="008B604E" w:rsidRDefault="008B604E">
      <w:pPr>
        <w:spacing w:after="0" w:line="240" w:lineRule="auto"/>
      </w:pPr>
    </w:p>
    <w:p w14:paraId="5AC6112B" w14:textId="77777777" w:rsidR="008B604E" w:rsidRDefault="008B604E"/>
    <w:p w14:paraId="7B8D8EB6" w14:textId="77777777" w:rsidR="008B604E" w:rsidRDefault="008B604E"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8F93"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Reporting Fraud and Corruption – Confidential Internal Management Guidelines  |  Version 1.0</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2B3D" w14:textId="77777777" w:rsidR="008B604E" w:rsidRDefault="008B604E" w:rsidP="003C2590">
      <w:pPr>
        <w:spacing w:after="0" w:line="240" w:lineRule="auto"/>
      </w:pPr>
      <w:r>
        <w:separator/>
      </w:r>
    </w:p>
    <w:p w14:paraId="14C1B97A" w14:textId="77777777" w:rsidR="008B604E" w:rsidRDefault="008B604E"/>
    <w:p w14:paraId="66F52987" w14:textId="77777777" w:rsidR="008B604E" w:rsidRDefault="008B604E" w:rsidP="00614F7B"/>
  </w:footnote>
  <w:footnote w:type="continuationSeparator" w:id="0">
    <w:p w14:paraId="4CE459A7" w14:textId="77777777" w:rsidR="008B604E" w:rsidRDefault="008B604E" w:rsidP="003C2590">
      <w:pPr>
        <w:spacing w:after="0" w:line="240" w:lineRule="auto"/>
      </w:pPr>
      <w:r>
        <w:continuationSeparator/>
      </w:r>
    </w:p>
    <w:p w14:paraId="6F502BEA" w14:textId="77777777" w:rsidR="008B604E" w:rsidRDefault="008B604E"/>
    <w:p w14:paraId="71B19E73" w14:textId="77777777" w:rsidR="008B604E" w:rsidRDefault="008B604E" w:rsidP="00614F7B"/>
  </w:footnote>
  <w:footnote w:type="continuationNotice" w:id="1">
    <w:p w14:paraId="388F7D01" w14:textId="77777777" w:rsidR="008B604E" w:rsidRDefault="008B604E">
      <w:pPr>
        <w:spacing w:after="0" w:line="240" w:lineRule="auto"/>
      </w:pPr>
    </w:p>
    <w:p w14:paraId="73BB5040" w14:textId="77777777" w:rsidR="008B604E" w:rsidRDefault="008B604E"/>
    <w:p w14:paraId="74028CA0" w14:textId="77777777" w:rsidR="008B604E" w:rsidRDefault="008B604E" w:rsidP="00614F7B"/>
  </w:footnote>
  <w:footnote w:id="2">
    <w:p>
      <w:pPr>
        <w:pStyle w:val="FootnoteText"/>
      </w:pPr>
      <w:r>
        <w:rPr>
          <w:rStyle w:val="FootnoteReference"/>
        </w:rPr>
        <w:footnoteRef/>
      </w:r>
      <w:r>
        <w:t xml:space="preserve"> </w:t>
      </w:r>
      <w:r>
        <w:t xml:space="preserve">See definition in section 4 of the PID Act.</w:t>
      </w:r>
    </w:p>
  </w:footnote>
  <w:footnote w:id="3">
    <w:p>
      <w:pPr>
        <w:pStyle w:val="FootnoteText"/>
      </w:pPr>
      <w:r>
        <w:rPr>
          <w:rStyle w:val="FootnoteReference"/>
        </w:rPr>
        <w:footnoteRef/>
      </w:r>
      <w:r>
        <w:t xml:space="preserve"> </w:t>
      </w:r>
      <w:r>
        <w:t xml:space="preserve">See definition in section 4 of the IBAC Act.</w:t>
      </w:r>
    </w:p>
  </w:footnote>
  <w:footnote w:id="4">
    <w:p>
      <w:pPr>
        <w:pStyle w:val="FootnoteText"/>
      </w:pPr>
      <w:r>
        <w:rPr>
          <w:rStyle w:val="FootnoteReference"/>
        </w:rPr>
        <w:footnoteRef/>
      </w:r>
      <w:r>
        <w:t xml:space="preserve"> </w:t>
      </w:r>
      <w:r>
        <w:t xml:space="preserve">See the definition in section 3 of the 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561C" w14:textId="77777777" w:rsidR="00343A30" w:rsidRPr="005E4170" w:rsidRDefault="004B40A7" w:rsidP="00343A30">
    <w:pPr>
      <w:tabs>
        <w:tab w:val="left" w:pos="-3060"/>
        <w:tab w:val="left" w:pos="-2340"/>
        <w:tab w:val="center" w:pos="4819"/>
        <w:tab w:val="left" w:pos="6300"/>
      </w:tabs>
      <w:suppressAutoHyphens/>
      <w:spacing w:before="480" w:after="120" w:line="288" w:lineRule="auto"/>
      <w:rPr>
        <w:sz w:val="24"/>
        <w:szCs w:val="24"/>
      </w:rPr>
    </w:pPr>
    <w:r>
      <w:rPr>
        <w:noProof/>
        <w:sz w:val="24"/>
        <w:szCs w:val="24"/>
      </w:rPr>
      <w:drawing>
        <wp:anchor distT="0" distB="0" distL="114300" distR="114300" simplePos="0" relativeHeight="251660289" behindDoc="1" locked="0" layoutInCell="1" allowOverlap="1" wp14:anchorId="17640488" wp14:editId="3D4D43D5">
          <wp:simplePos x="0" y="0"/>
          <wp:positionH relativeFrom="column">
            <wp:posOffset>-900268</wp:posOffset>
          </wp:positionH>
          <wp:positionV relativeFrom="paragraph">
            <wp:posOffset>-167640</wp:posOffset>
          </wp:positionV>
          <wp:extent cx="7534800" cy="1080000"/>
          <wp:effectExtent l="0" t="0" r="0" b="0"/>
          <wp:wrapNone/>
          <wp:docPr id="685938599" name="Picture 2" descr="A black and orange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8599" name="Picture 2" descr="A black and orange rectangl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34800" cy="1080000"/>
                  </a:xfrm>
                  <a:prstGeom prst="rect">
                    <a:avLst/>
                  </a:prstGeom>
                </pic:spPr>
              </pic:pic>
            </a:graphicData>
          </a:graphic>
          <wp14:sizeRelH relativeFrom="margin">
            <wp14:pctWidth>0</wp14:pctWidth>
          </wp14:sizeRelH>
          <wp14:sizeRelV relativeFrom="margin">
            <wp14:pctHeight>0</wp14:pctHeight>
          </wp14:sizeRelV>
        </wp:anchor>
      </w:drawing>
    </w:r>
    <w:r w:rsidR="00B156CE">
      <w:rPr>
        <w:noProof/>
        <w:sz w:val="24"/>
        <w:szCs w:val="24"/>
      </w:rPr>
      <w:drawing>
        <wp:anchor distT="0" distB="0" distL="114300" distR="114300" simplePos="0" relativeHeight="251662337" behindDoc="1" locked="0" layoutInCell="1" allowOverlap="1" wp14:anchorId="5AC1D87A" wp14:editId="05A55165">
          <wp:simplePos x="0" y="0"/>
          <wp:positionH relativeFrom="column">
            <wp:posOffset>5571460</wp:posOffset>
          </wp:positionH>
          <wp:positionV relativeFrom="paragraph">
            <wp:posOffset>-197116</wp:posOffset>
          </wp:positionV>
          <wp:extent cx="729900" cy="752446"/>
          <wp:effectExtent l="0" t="0" r="0" b="0"/>
          <wp:wrapNone/>
          <wp:docPr id="2089100807" name="Picture 3" descr="A circle with a palm tree and a building in the midd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D66572" w:rsidRPr="005E4170">
      <w:rPr>
        <w:rFonts w:eastAsia="Times New Roman" w:cs="Arial"/>
        <w:sz w:val="24"/>
        <w:szCs w:val="24"/>
        <w:lang w:eastAsia="en-AU"/>
      </w:rPr>
      <w:t>Reporting Fraud and Corruption – Confidential Internal Management Guidelines</w:t>
    </w:r>
  </w:p>
  <w:p w14:paraId="3A1C7120" w14:textId="77777777" w:rsidR="00365258" w:rsidRDefault="00365258"/>
  <w:p w14:paraId="702CA340" w14:textId="77777777" w:rsidR="00F8111D" w:rsidRDefault="00F811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64C9" w14:textId="77777777" w:rsidR="003C2590" w:rsidRPr="00343A30" w:rsidRDefault="005E4170" w:rsidP="00343A30">
    <w:pPr>
      <w:pStyle w:val="Header"/>
      <w:jc w:val="right"/>
    </w:pPr>
    <w:r>
      <w:rPr>
        <w:noProof/>
      </w:rPr>
      <w:drawing>
        <wp:anchor distT="0" distB="0" distL="114300" distR="114300" simplePos="0" relativeHeight="251659265" behindDoc="1" locked="0" layoutInCell="1" allowOverlap="1" wp14:anchorId="0AAC6F4A" wp14:editId="50A234B2">
          <wp:simplePos x="0" y="0"/>
          <wp:positionH relativeFrom="column">
            <wp:posOffset>-904875</wp:posOffset>
          </wp:positionH>
          <wp:positionV relativeFrom="paragraph">
            <wp:posOffset>-167250</wp:posOffset>
          </wp:positionV>
          <wp:extent cx="7542000" cy="10660940"/>
          <wp:effectExtent l="0" t="0" r="1905" b="7620"/>
          <wp:wrapNone/>
          <wp:docPr id="13321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043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2000" cy="10660940"/>
                  </a:xfrm>
                  <a:prstGeom prst="rect">
                    <a:avLst/>
                  </a:prstGeom>
                </pic:spPr>
              </pic:pic>
            </a:graphicData>
          </a:graphic>
          <wp14:sizeRelH relativeFrom="margin">
            <wp14:pctWidth>0</wp14:pctWidth>
          </wp14:sizeRelH>
          <wp14:sizeRelV relativeFrom="margin">
            <wp14:pctHeight>0</wp14:pctHeight>
          </wp14:sizeRelV>
        </wp:anchor>
      </w:drawing>
    </w:r>
  </w:p>
  <w:p w14:paraId="162D1D22" w14:textId="77777777" w:rsidR="00365258" w:rsidRDefault="00365258"/>
  <w:p w14:paraId="5BC36379" w14:textId="77777777" w:rsidR="00365258" w:rsidRDefault="00365258"/>
  <w:p w14:paraId="71CC1167"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ED"/>
    <w:rsid w:val="00003807"/>
    <w:rsid w:val="000124B8"/>
    <w:rsid w:val="00012CF2"/>
    <w:rsid w:val="00017F19"/>
    <w:rsid w:val="00021C8B"/>
    <w:rsid w:val="00024349"/>
    <w:rsid w:val="00025BD8"/>
    <w:rsid w:val="00026D9F"/>
    <w:rsid w:val="000304B2"/>
    <w:rsid w:val="000307EA"/>
    <w:rsid w:val="0003338C"/>
    <w:rsid w:val="000363C2"/>
    <w:rsid w:val="00036AC5"/>
    <w:rsid w:val="00044346"/>
    <w:rsid w:val="00044C66"/>
    <w:rsid w:val="00047A8E"/>
    <w:rsid w:val="00051013"/>
    <w:rsid w:val="00061CCC"/>
    <w:rsid w:val="000637B1"/>
    <w:rsid w:val="00063DC8"/>
    <w:rsid w:val="000643DF"/>
    <w:rsid w:val="0006680B"/>
    <w:rsid w:val="0007145E"/>
    <w:rsid w:val="00082362"/>
    <w:rsid w:val="00090F95"/>
    <w:rsid w:val="000943C0"/>
    <w:rsid w:val="000A122E"/>
    <w:rsid w:val="000A3360"/>
    <w:rsid w:val="000A5353"/>
    <w:rsid w:val="000A70B6"/>
    <w:rsid w:val="000A76A3"/>
    <w:rsid w:val="000A7F23"/>
    <w:rsid w:val="000B1AA9"/>
    <w:rsid w:val="000B328F"/>
    <w:rsid w:val="000B4AD2"/>
    <w:rsid w:val="000C44CD"/>
    <w:rsid w:val="000C6C04"/>
    <w:rsid w:val="000D2A85"/>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4CFE"/>
    <w:rsid w:val="00156592"/>
    <w:rsid w:val="00161C1F"/>
    <w:rsid w:val="00163FC0"/>
    <w:rsid w:val="0016535D"/>
    <w:rsid w:val="001657A7"/>
    <w:rsid w:val="0016675F"/>
    <w:rsid w:val="001670B8"/>
    <w:rsid w:val="00167788"/>
    <w:rsid w:val="001713CF"/>
    <w:rsid w:val="001729CF"/>
    <w:rsid w:val="00173D6D"/>
    <w:rsid w:val="00175193"/>
    <w:rsid w:val="001766A6"/>
    <w:rsid w:val="001801EE"/>
    <w:rsid w:val="00183591"/>
    <w:rsid w:val="00183CF1"/>
    <w:rsid w:val="00185A83"/>
    <w:rsid w:val="001866A5"/>
    <w:rsid w:val="00186992"/>
    <w:rsid w:val="00190CFD"/>
    <w:rsid w:val="001937D7"/>
    <w:rsid w:val="00195240"/>
    <w:rsid w:val="001961D9"/>
    <w:rsid w:val="00196F4A"/>
    <w:rsid w:val="001A1FC1"/>
    <w:rsid w:val="001A3F27"/>
    <w:rsid w:val="001A46D2"/>
    <w:rsid w:val="001A4BA7"/>
    <w:rsid w:val="001B2949"/>
    <w:rsid w:val="001B2F76"/>
    <w:rsid w:val="001B30E2"/>
    <w:rsid w:val="001B357A"/>
    <w:rsid w:val="001B4172"/>
    <w:rsid w:val="001B6D9D"/>
    <w:rsid w:val="001B747A"/>
    <w:rsid w:val="001C027E"/>
    <w:rsid w:val="001C2A1A"/>
    <w:rsid w:val="001C326E"/>
    <w:rsid w:val="001C32F8"/>
    <w:rsid w:val="001D0913"/>
    <w:rsid w:val="001D4CC3"/>
    <w:rsid w:val="001D6422"/>
    <w:rsid w:val="001D7068"/>
    <w:rsid w:val="001E1A97"/>
    <w:rsid w:val="001E2151"/>
    <w:rsid w:val="001E4B28"/>
    <w:rsid w:val="001E5CB3"/>
    <w:rsid w:val="001F33D3"/>
    <w:rsid w:val="001F53BA"/>
    <w:rsid w:val="0020184A"/>
    <w:rsid w:val="002024EB"/>
    <w:rsid w:val="0020382B"/>
    <w:rsid w:val="0020626A"/>
    <w:rsid w:val="00206561"/>
    <w:rsid w:val="00207BA2"/>
    <w:rsid w:val="00210307"/>
    <w:rsid w:val="002110DB"/>
    <w:rsid w:val="00224127"/>
    <w:rsid w:val="00224408"/>
    <w:rsid w:val="00230580"/>
    <w:rsid w:val="00241A6F"/>
    <w:rsid w:val="00242B92"/>
    <w:rsid w:val="002434C7"/>
    <w:rsid w:val="002451C4"/>
    <w:rsid w:val="002478C8"/>
    <w:rsid w:val="0025062B"/>
    <w:rsid w:val="00254393"/>
    <w:rsid w:val="00255002"/>
    <w:rsid w:val="00263E25"/>
    <w:rsid w:val="0026794A"/>
    <w:rsid w:val="00267B28"/>
    <w:rsid w:val="002702A9"/>
    <w:rsid w:val="00272673"/>
    <w:rsid w:val="0028060F"/>
    <w:rsid w:val="00284B54"/>
    <w:rsid w:val="0029204A"/>
    <w:rsid w:val="0029315B"/>
    <w:rsid w:val="00295050"/>
    <w:rsid w:val="002A264A"/>
    <w:rsid w:val="002A301E"/>
    <w:rsid w:val="002A39E9"/>
    <w:rsid w:val="002A48A1"/>
    <w:rsid w:val="002A50B6"/>
    <w:rsid w:val="002A7662"/>
    <w:rsid w:val="002B05E7"/>
    <w:rsid w:val="002B21F0"/>
    <w:rsid w:val="002B58C1"/>
    <w:rsid w:val="002B5A13"/>
    <w:rsid w:val="002C2B82"/>
    <w:rsid w:val="002C33FD"/>
    <w:rsid w:val="002C4891"/>
    <w:rsid w:val="002C7437"/>
    <w:rsid w:val="002D1916"/>
    <w:rsid w:val="002D25FA"/>
    <w:rsid w:val="002D6091"/>
    <w:rsid w:val="002E3046"/>
    <w:rsid w:val="002E51A3"/>
    <w:rsid w:val="002E6C20"/>
    <w:rsid w:val="002F151A"/>
    <w:rsid w:val="002F51B4"/>
    <w:rsid w:val="002F6A0D"/>
    <w:rsid w:val="00302388"/>
    <w:rsid w:val="00302DF2"/>
    <w:rsid w:val="003044BB"/>
    <w:rsid w:val="00306C2C"/>
    <w:rsid w:val="00311F35"/>
    <w:rsid w:val="0031307F"/>
    <w:rsid w:val="00313291"/>
    <w:rsid w:val="0031404E"/>
    <w:rsid w:val="00315FAD"/>
    <w:rsid w:val="003167D6"/>
    <w:rsid w:val="00321AD8"/>
    <w:rsid w:val="00321BD9"/>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6331A"/>
    <w:rsid w:val="003645D3"/>
    <w:rsid w:val="00365258"/>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3D6C"/>
    <w:rsid w:val="003B5AA8"/>
    <w:rsid w:val="003B6581"/>
    <w:rsid w:val="003B76B8"/>
    <w:rsid w:val="003C1D82"/>
    <w:rsid w:val="003C2590"/>
    <w:rsid w:val="003C644A"/>
    <w:rsid w:val="003D34E1"/>
    <w:rsid w:val="003E01BF"/>
    <w:rsid w:val="003E0696"/>
    <w:rsid w:val="003E2467"/>
    <w:rsid w:val="003E2634"/>
    <w:rsid w:val="003E3FF0"/>
    <w:rsid w:val="003E4190"/>
    <w:rsid w:val="003E47DB"/>
    <w:rsid w:val="003F0992"/>
    <w:rsid w:val="003F1830"/>
    <w:rsid w:val="003F2334"/>
    <w:rsid w:val="003F2CE6"/>
    <w:rsid w:val="003F3F04"/>
    <w:rsid w:val="003F4A1A"/>
    <w:rsid w:val="004005A3"/>
    <w:rsid w:val="00400911"/>
    <w:rsid w:val="00400E4E"/>
    <w:rsid w:val="00403374"/>
    <w:rsid w:val="004045E3"/>
    <w:rsid w:val="00404BA0"/>
    <w:rsid w:val="004074A5"/>
    <w:rsid w:val="00410BC6"/>
    <w:rsid w:val="0041172A"/>
    <w:rsid w:val="00411D2F"/>
    <w:rsid w:val="00416249"/>
    <w:rsid w:val="00420D33"/>
    <w:rsid w:val="00421A1A"/>
    <w:rsid w:val="00423987"/>
    <w:rsid w:val="004248EC"/>
    <w:rsid w:val="00425D4B"/>
    <w:rsid w:val="00426E82"/>
    <w:rsid w:val="00427240"/>
    <w:rsid w:val="00427DDA"/>
    <w:rsid w:val="004365DA"/>
    <w:rsid w:val="0043753F"/>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60F0"/>
    <w:rsid w:val="004B28AB"/>
    <w:rsid w:val="004B40A7"/>
    <w:rsid w:val="004C2BF1"/>
    <w:rsid w:val="004C3763"/>
    <w:rsid w:val="004C444A"/>
    <w:rsid w:val="004C4C52"/>
    <w:rsid w:val="004C64B2"/>
    <w:rsid w:val="004C7A25"/>
    <w:rsid w:val="004D1871"/>
    <w:rsid w:val="004E3C22"/>
    <w:rsid w:val="004E44A6"/>
    <w:rsid w:val="004F44BD"/>
    <w:rsid w:val="004F49EE"/>
    <w:rsid w:val="004F4B25"/>
    <w:rsid w:val="004F576D"/>
    <w:rsid w:val="004F5AEE"/>
    <w:rsid w:val="004F6370"/>
    <w:rsid w:val="0050350B"/>
    <w:rsid w:val="00504B60"/>
    <w:rsid w:val="005162B4"/>
    <w:rsid w:val="00521204"/>
    <w:rsid w:val="005246D1"/>
    <w:rsid w:val="005320E8"/>
    <w:rsid w:val="00543083"/>
    <w:rsid w:val="00543E88"/>
    <w:rsid w:val="00546821"/>
    <w:rsid w:val="00553D77"/>
    <w:rsid w:val="00560E79"/>
    <w:rsid w:val="005654D8"/>
    <w:rsid w:val="00567298"/>
    <w:rsid w:val="0057374D"/>
    <w:rsid w:val="00576319"/>
    <w:rsid w:val="005773C1"/>
    <w:rsid w:val="00583B25"/>
    <w:rsid w:val="005843C5"/>
    <w:rsid w:val="00585744"/>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C6"/>
    <w:rsid w:val="005D3ADE"/>
    <w:rsid w:val="005D50C8"/>
    <w:rsid w:val="005E1E6D"/>
    <w:rsid w:val="005E4170"/>
    <w:rsid w:val="005E5482"/>
    <w:rsid w:val="005E5A03"/>
    <w:rsid w:val="005E68AE"/>
    <w:rsid w:val="005E72BE"/>
    <w:rsid w:val="005E7406"/>
    <w:rsid w:val="005F6A72"/>
    <w:rsid w:val="005F7527"/>
    <w:rsid w:val="00600776"/>
    <w:rsid w:val="00600842"/>
    <w:rsid w:val="0060283D"/>
    <w:rsid w:val="00611139"/>
    <w:rsid w:val="00614F7B"/>
    <w:rsid w:val="00614FF5"/>
    <w:rsid w:val="00623A69"/>
    <w:rsid w:val="00631690"/>
    <w:rsid w:val="0063577F"/>
    <w:rsid w:val="006358FC"/>
    <w:rsid w:val="006423F0"/>
    <w:rsid w:val="006500E6"/>
    <w:rsid w:val="00650C13"/>
    <w:rsid w:val="0065150E"/>
    <w:rsid w:val="00651F0A"/>
    <w:rsid w:val="00651FA2"/>
    <w:rsid w:val="00656BC9"/>
    <w:rsid w:val="00656D97"/>
    <w:rsid w:val="00660535"/>
    <w:rsid w:val="006613B7"/>
    <w:rsid w:val="00664F15"/>
    <w:rsid w:val="00666C1F"/>
    <w:rsid w:val="00667694"/>
    <w:rsid w:val="00673410"/>
    <w:rsid w:val="006742F2"/>
    <w:rsid w:val="006747F9"/>
    <w:rsid w:val="006748D2"/>
    <w:rsid w:val="006753CD"/>
    <w:rsid w:val="00677A5E"/>
    <w:rsid w:val="00680ACB"/>
    <w:rsid w:val="00681AAE"/>
    <w:rsid w:val="00690CF3"/>
    <w:rsid w:val="00691FA1"/>
    <w:rsid w:val="00692194"/>
    <w:rsid w:val="006924C7"/>
    <w:rsid w:val="00692B4D"/>
    <w:rsid w:val="0069324B"/>
    <w:rsid w:val="006942B2"/>
    <w:rsid w:val="006945ED"/>
    <w:rsid w:val="00694693"/>
    <w:rsid w:val="00694FE9"/>
    <w:rsid w:val="00695580"/>
    <w:rsid w:val="0069572B"/>
    <w:rsid w:val="00697712"/>
    <w:rsid w:val="006A1B7E"/>
    <w:rsid w:val="006A2122"/>
    <w:rsid w:val="006A3515"/>
    <w:rsid w:val="006A62B1"/>
    <w:rsid w:val="006B49E3"/>
    <w:rsid w:val="006B5629"/>
    <w:rsid w:val="006B6B9C"/>
    <w:rsid w:val="006B7B17"/>
    <w:rsid w:val="006C4829"/>
    <w:rsid w:val="006C59A7"/>
    <w:rsid w:val="006C7CAF"/>
    <w:rsid w:val="006D02C4"/>
    <w:rsid w:val="006D2D7C"/>
    <w:rsid w:val="006D2E73"/>
    <w:rsid w:val="006D4090"/>
    <w:rsid w:val="006E0256"/>
    <w:rsid w:val="006E3F3A"/>
    <w:rsid w:val="006E61D3"/>
    <w:rsid w:val="006E70DE"/>
    <w:rsid w:val="006E7352"/>
    <w:rsid w:val="006F3A9F"/>
    <w:rsid w:val="00707827"/>
    <w:rsid w:val="00707BF5"/>
    <w:rsid w:val="007105F5"/>
    <w:rsid w:val="00713701"/>
    <w:rsid w:val="00715EAB"/>
    <w:rsid w:val="007161B4"/>
    <w:rsid w:val="00720080"/>
    <w:rsid w:val="00720738"/>
    <w:rsid w:val="00721234"/>
    <w:rsid w:val="00722422"/>
    <w:rsid w:val="007259D1"/>
    <w:rsid w:val="00726C09"/>
    <w:rsid w:val="00733431"/>
    <w:rsid w:val="00740D96"/>
    <w:rsid w:val="007421D3"/>
    <w:rsid w:val="00742591"/>
    <w:rsid w:val="00752CCA"/>
    <w:rsid w:val="00752E9B"/>
    <w:rsid w:val="00752FDC"/>
    <w:rsid w:val="007534FB"/>
    <w:rsid w:val="007557F1"/>
    <w:rsid w:val="00755806"/>
    <w:rsid w:val="0075728E"/>
    <w:rsid w:val="00757457"/>
    <w:rsid w:val="007601F3"/>
    <w:rsid w:val="00764089"/>
    <w:rsid w:val="007669E8"/>
    <w:rsid w:val="00766E06"/>
    <w:rsid w:val="00770FD9"/>
    <w:rsid w:val="00772C2E"/>
    <w:rsid w:val="007730D1"/>
    <w:rsid w:val="007737AF"/>
    <w:rsid w:val="00774AA2"/>
    <w:rsid w:val="00780280"/>
    <w:rsid w:val="0078199B"/>
    <w:rsid w:val="00782270"/>
    <w:rsid w:val="00787A63"/>
    <w:rsid w:val="00790043"/>
    <w:rsid w:val="0079082B"/>
    <w:rsid w:val="007930F3"/>
    <w:rsid w:val="00794341"/>
    <w:rsid w:val="0079569F"/>
    <w:rsid w:val="007965B1"/>
    <w:rsid w:val="00796F34"/>
    <w:rsid w:val="00797831"/>
    <w:rsid w:val="007A04B5"/>
    <w:rsid w:val="007A2C56"/>
    <w:rsid w:val="007A30DA"/>
    <w:rsid w:val="007A3515"/>
    <w:rsid w:val="007A3C79"/>
    <w:rsid w:val="007A797F"/>
    <w:rsid w:val="007B317B"/>
    <w:rsid w:val="007B38EC"/>
    <w:rsid w:val="007C0FA1"/>
    <w:rsid w:val="007C15FE"/>
    <w:rsid w:val="007C1C53"/>
    <w:rsid w:val="007C41B5"/>
    <w:rsid w:val="007D063A"/>
    <w:rsid w:val="007D45F8"/>
    <w:rsid w:val="007E07CD"/>
    <w:rsid w:val="007E24E5"/>
    <w:rsid w:val="007E301B"/>
    <w:rsid w:val="007E3B3F"/>
    <w:rsid w:val="007E3D1A"/>
    <w:rsid w:val="007F2226"/>
    <w:rsid w:val="007F4FFD"/>
    <w:rsid w:val="007F5C93"/>
    <w:rsid w:val="008008F0"/>
    <w:rsid w:val="0080525C"/>
    <w:rsid w:val="00807CFF"/>
    <w:rsid w:val="008108E4"/>
    <w:rsid w:val="008116B5"/>
    <w:rsid w:val="00811754"/>
    <w:rsid w:val="00812931"/>
    <w:rsid w:val="008140E9"/>
    <w:rsid w:val="00814F90"/>
    <w:rsid w:val="008153AD"/>
    <w:rsid w:val="00815673"/>
    <w:rsid w:val="00815D3E"/>
    <w:rsid w:val="00820D79"/>
    <w:rsid w:val="00822F61"/>
    <w:rsid w:val="00823C60"/>
    <w:rsid w:val="008250BF"/>
    <w:rsid w:val="008253FC"/>
    <w:rsid w:val="00827648"/>
    <w:rsid w:val="00827B74"/>
    <w:rsid w:val="00833973"/>
    <w:rsid w:val="00841069"/>
    <w:rsid w:val="008424D9"/>
    <w:rsid w:val="00842F32"/>
    <w:rsid w:val="00843643"/>
    <w:rsid w:val="008454F6"/>
    <w:rsid w:val="00851590"/>
    <w:rsid w:val="00851AD0"/>
    <w:rsid w:val="00855119"/>
    <w:rsid w:val="00855E79"/>
    <w:rsid w:val="00855EA5"/>
    <w:rsid w:val="008578D2"/>
    <w:rsid w:val="008623B6"/>
    <w:rsid w:val="00863A43"/>
    <w:rsid w:val="00865E75"/>
    <w:rsid w:val="008665D5"/>
    <w:rsid w:val="00866D6B"/>
    <w:rsid w:val="008735F8"/>
    <w:rsid w:val="0087633B"/>
    <w:rsid w:val="00881062"/>
    <w:rsid w:val="00883B87"/>
    <w:rsid w:val="00884284"/>
    <w:rsid w:val="008853F5"/>
    <w:rsid w:val="0089078B"/>
    <w:rsid w:val="008942BE"/>
    <w:rsid w:val="00895EE2"/>
    <w:rsid w:val="008973B4"/>
    <w:rsid w:val="008A2CFE"/>
    <w:rsid w:val="008A2FED"/>
    <w:rsid w:val="008A63C8"/>
    <w:rsid w:val="008B2476"/>
    <w:rsid w:val="008B604E"/>
    <w:rsid w:val="008C09EA"/>
    <w:rsid w:val="008C0FB8"/>
    <w:rsid w:val="008C1F14"/>
    <w:rsid w:val="008C3468"/>
    <w:rsid w:val="008C55AE"/>
    <w:rsid w:val="008D1D24"/>
    <w:rsid w:val="008D5186"/>
    <w:rsid w:val="008D6644"/>
    <w:rsid w:val="008E12C9"/>
    <w:rsid w:val="008E256B"/>
    <w:rsid w:val="008F2DB8"/>
    <w:rsid w:val="008F3E13"/>
    <w:rsid w:val="00902AE5"/>
    <w:rsid w:val="00903622"/>
    <w:rsid w:val="00903CB9"/>
    <w:rsid w:val="009076E8"/>
    <w:rsid w:val="00907E7B"/>
    <w:rsid w:val="0091134C"/>
    <w:rsid w:val="00911465"/>
    <w:rsid w:val="0091292C"/>
    <w:rsid w:val="00921571"/>
    <w:rsid w:val="00921595"/>
    <w:rsid w:val="00921F7F"/>
    <w:rsid w:val="00923016"/>
    <w:rsid w:val="00923104"/>
    <w:rsid w:val="00923B8D"/>
    <w:rsid w:val="00925B38"/>
    <w:rsid w:val="0093181E"/>
    <w:rsid w:val="0093375C"/>
    <w:rsid w:val="0093430A"/>
    <w:rsid w:val="00934CD2"/>
    <w:rsid w:val="009428CA"/>
    <w:rsid w:val="00942BFB"/>
    <w:rsid w:val="00943675"/>
    <w:rsid w:val="00953445"/>
    <w:rsid w:val="009602CC"/>
    <w:rsid w:val="0096076A"/>
    <w:rsid w:val="00960EA5"/>
    <w:rsid w:val="00962EE2"/>
    <w:rsid w:val="00964BF0"/>
    <w:rsid w:val="00964F68"/>
    <w:rsid w:val="00970F49"/>
    <w:rsid w:val="0097175D"/>
    <w:rsid w:val="009760CC"/>
    <w:rsid w:val="00992852"/>
    <w:rsid w:val="00993030"/>
    <w:rsid w:val="009A13D7"/>
    <w:rsid w:val="009A1701"/>
    <w:rsid w:val="009A28FA"/>
    <w:rsid w:val="009A5161"/>
    <w:rsid w:val="009A6561"/>
    <w:rsid w:val="009A7B31"/>
    <w:rsid w:val="009B1C73"/>
    <w:rsid w:val="009B5A5D"/>
    <w:rsid w:val="009C034F"/>
    <w:rsid w:val="009C1738"/>
    <w:rsid w:val="009C1EC0"/>
    <w:rsid w:val="009C3E2A"/>
    <w:rsid w:val="009C3FB2"/>
    <w:rsid w:val="009C6918"/>
    <w:rsid w:val="009C69F9"/>
    <w:rsid w:val="009C6A57"/>
    <w:rsid w:val="009C7C33"/>
    <w:rsid w:val="009D11A2"/>
    <w:rsid w:val="009D1EA8"/>
    <w:rsid w:val="009D3A45"/>
    <w:rsid w:val="009D790F"/>
    <w:rsid w:val="009E1358"/>
    <w:rsid w:val="009E2247"/>
    <w:rsid w:val="009E2380"/>
    <w:rsid w:val="009E2D79"/>
    <w:rsid w:val="009E59D9"/>
    <w:rsid w:val="009F1BC1"/>
    <w:rsid w:val="009F4641"/>
    <w:rsid w:val="009F6D49"/>
    <w:rsid w:val="00A01E0B"/>
    <w:rsid w:val="00A02AE3"/>
    <w:rsid w:val="00A0364A"/>
    <w:rsid w:val="00A06D37"/>
    <w:rsid w:val="00A07AF7"/>
    <w:rsid w:val="00A10266"/>
    <w:rsid w:val="00A105FA"/>
    <w:rsid w:val="00A110F9"/>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60915"/>
    <w:rsid w:val="00A70D26"/>
    <w:rsid w:val="00A71687"/>
    <w:rsid w:val="00A734F8"/>
    <w:rsid w:val="00A74C82"/>
    <w:rsid w:val="00A77256"/>
    <w:rsid w:val="00A86615"/>
    <w:rsid w:val="00A87E9E"/>
    <w:rsid w:val="00A93827"/>
    <w:rsid w:val="00A9405C"/>
    <w:rsid w:val="00A942C1"/>
    <w:rsid w:val="00A97325"/>
    <w:rsid w:val="00A97E58"/>
    <w:rsid w:val="00AA07FC"/>
    <w:rsid w:val="00AA43BC"/>
    <w:rsid w:val="00AA6CC7"/>
    <w:rsid w:val="00AA7560"/>
    <w:rsid w:val="00AB4221"/>
    <w:rsid w:val="00AB45F2"/>
    <w:rsid w:val="00AC4957"/>
    <w:rsid w:val="00AC4B69"/>
    <w:rsid w:val="00AC590A"/>
    <w:rsid w:val="00AC7482"/>
    <w:rsid w:val="00AC77F0"/>
    <w:rsid w:val="00AC7A4D"/>
    <w:rsid w:val="00AD4A0E"/>
    <w:rsid w:val="00AE1B37"/>
    <w:rsid w:val="00AE3CD8"/>
    <w:rsid w:val="00AE51A5"/>
    <w:rsid w:val="00AE70D4"/>
    <w:rsid w:val="00AF0081"/>
    <w:rsid w:val="00AF2E3D"/>
    <w:rsid w:val="00AF3C84"/>
    <w:rsid w:val="00B00FF6"/>
    <w:rsid w:val="00B05617"/>
    <w:rsid w:val="00B060FA"/>
    <w:rsid w:val="00B079EA"/>
    <w:rsid w:val="00B11294"/>
    <w:rsid w:val="00B156CE"/>
    <w:rsid w:val="00B20C1F"/>
    <w:rsid w:val="00B21384"/>
    <w:rsid w:val="00B21545"/>
    <w:rsid w:val="00B25450"/>
    <w:rsid w:val="00B30884"/>
    <w:rsid w:val="00B30A5C"/>
    <w:rsid w:val="00B30B8E"/>
    <w:rsid w:val="00B325FE"/>
    <w:rsid w:val="00B33B05"/>
    <w:rsid w:val="00B40484"/>
    <w:rsid w:val="00B4055D"/>
    <w:rsid w:val="00B43792"/>
    <w:rsid w:val="00B44AD1"/>
    <w:rsid w:val="00B50916"/>
    <w:rsid w:val="00B52778"/>
    <w:rsid w:val="00B5373B"/>
    <w:rsid w:val="00B53FE6"/>
    <w:rsid w:val="00B57339"/>
    <w:rsid w:val="00B57A19"/>
    <w:rsid w:val="00B57CFC"/>
    <w:rsid w:val="00B60FEF"/>
    <w:rsid w:val="00B612DB"/>
    <w:rsid w:val="00B61873"/>
    <w:rsid w:val="00B623BD"/>
    <w:rsid w:val="00B6439E"/>
    <w:rsid w:val="00B67C25"/>
    <w:rsid w:val="00B72A17"/>
    <w:rsid w:val="00B81C29"/>
    <w:rsid w:val="00B820C9"/>
    <w:rsid w:val="00B8656A"/>
    <w:rsid w:val="00B87C25"/>
    <w:rsid w:val="00B940D0"/>
    <w:rsid w:val="00B944AA"/>
    <w:rsid w:val="00B9679C"/>
    <w:rsid w:val="00BA070B"/>
    <w:rsid w:val="00BA10ED"/>
    <w:rsid w:val="00BA2695"/>
    <w:rsid w:val="00BA27B8"/>
    <w:rsid w:val="00BA79B4"/>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51E5"/>
    <w:rsid w:val="00BE6B21"/>
    <w:rsid w:val="00BF0EEF"/>
    <w:rsid w:val="00BF28F6"/>
    <w:rsid w:val="00BF2C41"/>
    <w:rsid w:val="00BF38C3"/>
    <w:rsid w:val="00BF393B"/>
    <w:rsid w:val="00BF4583"/>
    <w:rsid w:val="00C01AF8"/>
    <w:rsid w:val="00C07557"/>
    <w:rsid w:val="00C1011D"/>
    <w:rsid w:val="00C109D6"/>
    <w:rsid w:val="00C11EAA"/>
    <w:rsid w:val="00C13796"/>
    <w:rsid w:val="00C16829"/>
    <w:rsid w:val="00C16CDF"/>
    <w:rsid w:val="00C2075D"/>
    <w:rsid w:val="00C23937"/>
    <w:rsid w:val="00C25FF1"/>
    <w:rsid w:val="00C33CF2"/>
    <w:rsid w:val="00C3711E"/>
    <w:rsid w:val="00C40376"/>
    <w:rsid w:val="00C419A0"/>
    <w:rsid w:val="00C4422B"/>
    <w:rsid w:val="00C47672"/>
    <w:rsid w:val="00C47A69"/>
    <w:rsid w:val="00C50B64"/>
    <w:rsid w:val="00C5412A"/>
    <w:rsid w:val="00C545B8"/>
    <w:rsid w:val="00C607ED"/>
    <w:rsid w:val="00C61768"/>
    <w:rsid w:val="00C673DF"/>
    <w:rsid w:val="00C71B5E"/>
    <w:rsid w:val="00C7288D"/>
    <w:rsid w:val="00C72C42"/>
    <w:rsid w:val="00C84FC8"/>
    <w:rsid w:val="00C87375"/>
    <w:rsid w:val="00C97152"/>
    <w:rsid w:val="00C97CC6"/>
    <w:rsid w:val="00CA66AE"/>
    <w:rsid w:val="00CA7FCA"/>
    <w:rsid w:val="00CB33F8"/>
    <w:rsid w:val="00CC5A73"/>
    <w:rsid w:val="00CD2DD7"/>
    <w:rsid w:val="00CD63FA"/>
    <w:rsid w:val="00CD6C22"/>
    <w:rsid w:val="00CD7F10"/>
    <w:rsid w:val="00CE42C1"/>
    <w:rsid w:val="00CE5D6F"/>
    <w:rsid w:val="00CE62C0"/>
    <w:rsid w:val="00CF1132"/>
    <w:rsid w:val="00CF2625"/>
    <w:rsid w:val="00CF4B6F"/>
    <w:rsid w:val="00CF5B69"/>
    <w:rsid w:val="00D0459F"/>
    <w:rsid w:val="00D06ABD"/>
    <w:rsid w:val="00D10F4B"/>
    <w:rsid w:val="00D11982"/>
    <w:rsid w:val="00D215BB"/>
    <w:rsid w:val="00D2513C"/>
    <w:rsid w:val="00D266DD"/>
    <w:rsid w:val="00D30337"/>
    <w:rsid w:val="00D3099B"/>
    <w:rsid w:val="00D33E24"/>
    <w:rsid w:val="00D36AC7"/>
    <w:rsid w:val="00D54118"/>
    <w:rsid w:val="00D5728F"/>
    <w:rsid w:val="00D602F2"/>
    <w:rsid w:val="00D6193B"/>
    <w:rsid w:val="00D629C9"/>
    <w:rsid w:val="00D62A71"/>
    <w:rsid w:val="00D63B41"/>
    <w:rsid w:val="00D66572"/>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A6FD3"/>
    <w:rsid w:val="00DB0F0A"/>
    <w:rsid w:val="00DB49F0"/>
    <w:rsid w:val="00DC36D9"/>
    <w:rsid w:val="00DC45EA"/>
    <w:rsid w:val="00DC4D8F"/>
    <w:rsid w:val="00DC7BE6"/>
    <w:rsid w:val="00DD1301"/>
    <w:rsid w:val="00DD27A1"/>
    <w:rsid w:val="00DD2E2E"/>
    <w:rsid w:val="00DD3A71"/>
    <w:rsid w:val="00DD4476"/>
    <w:rsid w:val="00DE2F54"/>
    <w:rsid w:val="00DE36E8"/>
    <w:rsid w:val="00DE388F"/>
    <w:rsid w:val="00DE4903"/>
    <w:rsid w:val="00DE71E7"/>
    <w:rsid w:val="00DF433D"/>
    <w:rsid w:val="00DF47E7"/>
    <w:rsid w:val="00DF5277"/>
    <w:rsid w:val="00DF74E5"/>
    <w:rsid w:val="00E0002A"/>
    <w:rsid w:val="00E00A23"/>
    <w:rsid w:val="00E01CE0"/>
    <w:rsid w:val="00E053A2"/>
    <w:rsid w:val="00E0655A"/>
    <w:rsid w:val="00E10173"/>
    <w:rsid w:val="00E11623"/>
    <w:rsid w:val="00E122E7"/>
    <w:rsid w:val="00E130BB"/>
    <w:rsid w:val="00E141F1"/>
    <w:rsid w:val="00E15D52"/>
    <w:rsid w:val="00E169E0"/>
    <w:rsid w:val="00E17D61"/>
    <w:rsid w:val="00E204EA"/>
    <w:rsid w:val="00E235D7"/>
    <w:rsid w:val="00E24278"/>
    <w:rsid w:val="00E24350"/>
    <w:rsid w:val="00E2768A"/>
    <w:rsid w:val="00E27A22"/>
    <w:rsid w:val="00E305D7"/>
    <w:rsid w:val="00E31C89"/>
    <w:rsid w:val="00E35765"/>
    <w:rsid w:val="00E35BCE"/>
    <w:rsid w:val="00E40F5D"/>
    <w:rsid w:val="00E41070"/>
    <w:rsid w:val="00E4771C"/>
    <w:rsid w:val="00E5360E"/>
    <w:rsid w:val="00E5798C"/>
    <w:rsid w:val="00E60D7A"/>
    <w:rsid w:val="00E60E2D"/>
    <w:rsid w:val="00E628D9"/>
    <w:rsid w:val="00E668F3"/>
    <w:rsid w:val="00E71994"/>
    <w:rsid w:val="00E71B4C"/>
    <w:rsid w:val="00E76DDD"/>
    <w:rsid w:val="00E77384"/>
    <w:rsid w:val="00E82DF9"/>
    <w:rsid w:val="00E90534"/>
    <w:rsid w:val="00E93906"/>
    <w:rsid w:val="00E95F49"/>
    <w:rsid w:val="00E96102"/>
    <w:rsid w:val="00E97AAA"/>
    <w:rsid w:val="00EA1EC3"/>
    <w:rsid w:val="00EA2409"/>
    <w:rsid w:val="00EA2AE3"/>
    <w:rsid w:val="00EA3003"/>
    <w:rsid w:val="00EA395F"/>
    <w:rsid w:val="00EA5E69"/>
    <w:rsid w:val="00EB00E1"/>
    <w:rsid w:val="00EB371F"/>
    <w:rsid w:val="00EB4692"/>
    <w:rsid w:val="00EB6536"/>
    <w:rsid w:val="00EC1339"/>
    <w:rsid w:val="00EC1AD6"/>
    <w:rsid w:val="00EC507E"/>
    <w:rsid w:val="00EC6ECA"/>
    <w:rsid w:val="00EC76D9"/>
    <w:rsid w:val="00EC7BE1"/>
    <w:rsid w:val="00ED41D5"/>
    <w:rsid w:val="00ED646D"/>
    <w:rsid w:val="00ED6EC7"/>
    <w:rsid w:val="00EE708D"/>
    <w:rsid w:val="00EF0860"/>
    <w:rsid w:val="00EF25D4"/>
    <w:rsid w:val="00EF413A"/>
    <w:rsid w:val="00EF563E"/>
    <w:rsid w:val="00EF6217"/>
    <w:rsid w:val="00F0332F"/>
    <w:rsid w:val="00F04418"/>
    <w:rsid w:val="00F05E9B"/>
    <w:rsid w:val="00F14181"/>
    <w:rsid w:val="00F14FA3"/>
    <w:rsid w:val="00F17FA6"/>
    <w:rsid w:val="00F21074"/>
    <w:rsid w:val="00F213BE"/>
    <w:rsid w:val="00F21654"/>
    <w:rsid w:val="00F22FC5"/>
    <w:rsid w:val="00F24361"/>
    <w:rsid w:val="00F3317F"/>
    <w:rsid w:val="00F357D1"/>
    <w:rsid w:val="00F41D18"/>
    <w:rsid w:val="00F450DE"/>
    <w:rsid w:val="00F472F9"/>
    <w:rsid w:val="00F530B1"/>
    <w:rsid w:val="00F56CD1"/>
    <w:rsid w:val="00F61628"/>
    <w:rsid w:val="00F75D27"/>
    <w:rsid w:val="00F763A6"/>
    <w:rsid w:val="00F765EE"/>
    <w:rsid w:val="00F76821"/>
    <w:rsid w:val="00F76AFE"/>
    <w:rsid w:val="00F80DDC"/>
    <w:rsid w:val="00F8111D"/>
    <w:rsid w:val="00F90AD7"/>
    <w:rsid w:val="00F92EF4"/>
    <w:rsid w:val="00F93F60"/>
    <w:rsid w:val="00F9490E"/>
    <w:rsid w:val="00F96D90"/>
    <w:rsid w:val="00F96F5F"/>
    <w:rsid w:val="00FA1663"/>
    <w:rsid w:val="00FA2508"/>
    <w:rsid w:val="00FA3012"/>
    <w:rsid w:val="00FA3EAB"/>
    <w:rsid w:val="00FA569B"/>
    <w:rsid w:val="00FB3D2A"/>
    <w:rsid w:val="00FB569F"/>
    <w:rsid w:val="00FC1D5B"/>
    <w:rsid w:val="00FC3F7A"/>
    <w:rsid w:val="00FC624B"/>
    <w:rsid w:val="00FC635B"/>
    <w:rsid w:val="00FC6A8A"/>
    <w:rsid w:val="00FD037F"/>
    <w:rsid w:val="00FD0F58"/>
    <w:rsid w:val="00FD3928"/>
    <w:rsid w:val="00FD3F44"/>
    <w:rsid w:val="00FD4014"/>
    <w:rsid w:val="00FD46F7"/>
    <w:rsid w:val="00FE3A78"/>
    <w:rsid w:val="00FE4A1A"/>
    <w:rsid w:val="00FE4EA1"/>
    <w:rsid w:val="00FE7432"/>
    <w:rsid w:val="00FF12A4"/>
    <w:rsid w:val="00FF2949"/>
    <w:rsid w:val="00FF2DC7"/>
    <w:rsid w:val="00FF2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4176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F2"/>
    <w:rPr>
      <w:rFonts w:ascii="Arial" w:hAnsi="Arial"/>
    </w:rPr>
  </w:style>
  <w:style w:type="paragraph" w:styleId="Heading1">
    <w:name w:val="heading 1"/>
    <w:basedOn w:val="Normal"/>
    <w:next w:val="Normal"/>
    <w:link w:val="Heading1Char"/>
    <w:uiPriority w:val="9"/>
    <w:qFormat/>
    <w:rsid w:val="009E59D9"/>
    <w:pPr>
      <w:keepNext/>
      <w:keepLines/>
      <w:numPr>
        <w:numId w:val="2"/>
      </w:numPr>
      <w:spacing w:before="240" w:after="120"/>
      <w:ind w:left="709" w:hanging="709"/>
      <w:outlineLvl w:val="0"/>
    </w:pPr>
    <w:rPr>
      <w:rFonts w:eastAsiaTheme="majorEastAsia" w:cs="Arial"/>
      <w:color w:val="F68B1F"/>
      <w:sz w:val="40"/>
      <w:szCs w:val="40"/>
    </w:rPr>
  </w:style>
  <w:style w:type="paragraph" w:styleId="Heading2">
    <w:name w:val="heading 2"/>
    <w:basedOn w:val="Heading1"/>
    <w:next w:val="Normal"/>
    <w:link w:val="Heading2Char"/>
    <w:uiPriority w:val="9"/>
    <w:unhideWhenUsed/>
    <w:qFormat/>
    <w:rsid w:val="00A376F6"/>
    <w:pPr>
      <w:numPr>
        <w:ilvl w:val="1"/>
      </w:numPr>
      <w:ind w:left="709" w:hanging="709"/>
      <w:outlineLvl w:val="1"/>
    </w:pPr>
    <w:rPr>
      <w:b/>
      <w:bCs/>
      <w:color w:val="auto"/>
      <w:sz w:val="28"/>
      <w:szCs w:val="28"/>
    </w:rPr>
  </w:style>
  <w:style w:type="paragraph" w:styleId="Heading3">
    <w:name w:val="heading 3"/>
    <w:basedOn w:val="Heading2"/>
    <w:next w:val="Normal"/>
    <w:link w:val="Heading3Char"/>
    <w:uiPriority w:val="9"/>
    <w:unhideWhenUsed/>
    <w:qFormat/>
    <w:rsid w:val="00C2075D"/>
    <w:pPr>
      <w:numPr>
        <w:ilvl w:val="2"/>
      </w:numPr>
      <w:ind w:hanging="153"/>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844505"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844505"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3C2590"/>
    <w:pPr>
      <w:outlineLvl w:val="0"/>
    </w:pPr>
    <w:rPr>
      <w:rFonts w:cs="Arial"/>
      <w:color w:val="F68B1F"/>
      <w:sz w:val="40"/>
      <w:szCs w:val="40"/>
    </w:rPr>
  </w:style>
  <w:style w:type="character" w:customStyle="1" w:styleId="MeetingminutesheaderChar">
    <w:name w:val="Meeting minutes header Char"/>
    <w:basedOn w:val="DefaultParagraphFont"/>
    <w:link w:val="Meetingminutesheader"/>
    <w:rsid w:val="003C2590"/>
    <w:rPr>
      <w:rFonts w:ascii="Arial" w:hAnsi="Arial" w:cs="Arial"/>
      <w:color w:val="F68B1F"/>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854505"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9E59D9"/>
    <w:rPr>
      <w:rFonts w:ascii="Arial" w:eastAsiaTheme="majorEastAsia" w:hAnsi="Arial" w:cs="Arial"/>
      <w:color w:val="F68B1F"/>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365258"/>
    <w:pPr>
      <w:numPr>
        <w:numId w:val="1"/>
      </w:numPr>
    </w:pPr>
    <w:rPr>
      <w:color w:val="F68B1F"/>
      <w:sz w:val="28"/>
      <w:szCs w:val="28"/>
    </w:rPr>
  </w:style>
  <w:style w:type="character" w:customStyle="1" w:styleId="TempateHeadingLevel2Char">
    <w:name w:val="Tempate Heading Level 2 Char"/>
    <w:basedOn w:val="Heading21Char"/>
    <w:link w:val="TempateHeadingLevel2"/>
    <w:rsid w:val="00365258"/>
    <w:rPr>
      <w:rFonts w:ascii="Arial" w:hAnsi="Arial" w:cs="Arial"/>
      <w:b/>
      <w:color w:val="F68B1F"/>
      <w:sz w:val="28"/>
      <w:szCs w:val="28"/>
    </w:rPr>
  </w:style>
  <w:style w:type="paragraph" w:customStyle="1" w:styleId="TempateHeadingLevel1">
    <w:name w:val="Tempate Heading Level 1"/>
    <w:basedOn w:val="Meetingminutesheader"/>
    <w:link w:val="TempateHeadingLevel1Char"/>
    <w:qFormat/>
    <w:rsid w:val="00365258"/>
    <w:pPr>
      <w:jc w:val="center"/>
    </w:pPr>
  </w:style>
  <w:style w:type="character" w:customStyle="1" w:styleId="TempateHeadingLevel1Char">
    <w:name w:val="Tempate Heading Level 1 Char"/>
    <w:basedOn w:val="MeetingminutesheaderChar"/>
    <w:link w:val="TempateHeadingLevel1"/>
    <w:rsid w:val="00365258"/>
    <w:rPr>
      <w:rFonts w:ascii="Arial" w:hAnsi="Arial" w:cs="Arial"/>
      <w:color w:val="F68B1F"/>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844505"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844505"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C76808"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5E417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4170"/>
    <w:rPr>
      <w:rFonts w:eastAsiaTheme="minorEastAsia"/>
      <w:lang w:val="en-US"/>
    </w:rPr>
  </w:style>
  <w:style w:type="paragraph" w:styleId="NormalWeb">
    <w:name w:val="Normal (Web)"/>
    <w:basedOn w:val="Normal"/>
    <w:uiPriority w:val="99"/>
    <w:semiHidden/>
    <w:unhideWhenUsed/>
    <w:rsid w:val="00A97E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023901263">
      <w:bodyDiv w:val="1"/>
      <w:marLeft w:val="0"/>
      <w:marRight w:val="0"/>
      <w:marTop w:val="0"/>
      <w:marBottom w:val="0"/>
      <w:divBdr>
        <w:top w:val="none" w:sz="0" w:space="0" w:color="auto"/>
        <w:left w:val="none" w:sz="0" w:space="0" w:color="auto"/>
        <w:bottom w:val="none" w:sz="0" w:space="0" w:color="auto"/>
        <w:right w:val="none" w:sz="0" w:space="0" w:color="auto"/>
      </w:divBdr>
      <w:divsChild>
        <w:div w:id="1122966284">
          <w:marLeft w:val="0"/>
          <w:marRight w:val="0"/>
          <w:marTop w:val="0"/>
          <w:marBottom w:val="0"/>
          <w:divBdr>
            <w:top w:val="none" w:sz="0" w:space="0" w:color="auto"/>
            <w:left w:val="none" w:sz="0" w:space="0" w:color="auto"/>
            <w:bottom w:val="none" w:sz="0" w:space="0" w:color="auto"/>
            <w:right w:val="none" w:sz="0" w:space="0" w:color="auto"/>
          </w:divBdr>
        </w:div>
      </w:divsChild>
    </w:div>
    <w:div w:id="1106385749">
      <w:bodyDiv w:val="1"/>
      <w:marLeft w:val="0"/>
      <w:marRight w:val="0"/>
      <w:marTop w:val="0"/>
      <w:marBottom w:val="0"/>
      <w:divBdr>
        <w:top w:val="none" w:sz="0" w:space="0" w:color="auto"/>
        <w:left w:val="none" w:sz="0" w:space="0" w:color="auto"/>
        <w:bottom w:val="none" w:sz="0" w:space="0" w:color="auto"/>
        <w:right w:val="none" w:sz="0" w:space="0" w:color="auto"/>
      </w:divBdr>
      <w:divsChild>
        <w:div w:id="1304117451">
          <w:marLeft w:val="0"/>
          <w:marRight w:val="0"/>
          <w:marTop w:val="0"/>
          <w:marBottom w:val="0"/>
          <w:divBdr>
            <w:top w:val="none" w:sz="0" w:space="0" w:color="auto"/>
            <w:left w:val="none" w:sz="0" w:space="0" w:color="auto"/>
            <w:bottom w:val="none" w:sz="0" w:space="0" w:color="auto"/>
            <w:right w:val="none" w:sz="0" w:space="0" w:color="auto"/>
          </w:divBdr>
          <w:divsChild>
            <w:div w:id="1459182010">
              <w:marLeft w:val="0"/>
              <w:marRight w:val="0"/>
              <w:marTop w:val="0"/>
              <w:marBottom w:val="0"/>
              <w:divBdr>
                <w:top w:val="none" w:sz="0" w:space="0" w:color="auto"/>
                <w:left w:val="none" w:sz="0" w:space="0" w:color="auto"/>
                <w:bottom w:val="none" w:sz="0" w:space="0" w:color="auto"/>
                <w:right w:val="none" w:sz="0" w:space="0" w:color="auto"/>
              </w:divBdr>
              <w:divsChild>
                <w:div w:id="91442253">
                  <w:marLeft w:val="0"/>
                  <w:marRight w:val="0"/>
                  <w:marTop w:val="0"/>
                  <w:marBottom w:val="0"/>
                  <w:divBdr>
                    <w:top w:val="none" w:sz="0" w:space="0" w:color="auto"/>
                    <w:left w:val="none" w:sz="0" w:space="0" w:color="auto"/>
                    <w:bottom w:val="none" w:sz="0" w:space="0" w:color="auto"/>
                    <w:right w:val="none" w:sz="0" w:space="0" w:color="auto"/>
                  </w:divBdr>
                  <w:divsChild>
                    <w:div w:id="1461613032">
                      <w:marLeft w:val="0"/>
                      <w:marRight w:val="0"/>
                      <w:marTop w:val="0"/>
                      <w:marBottom w:val="0"/>
                      <w:divBdr>
                        <w:top w:val="none" w:sz="0" w:space="0" w:color="auto"/>
                        <w:left w:val="none" w:sz="0" w:space="0" w:color="auto"/>
                        <w:bottom w:val="none" w:sz="0" w:space="0" w:color="auto"/>
                        <w:right w:val="none" w:sz="0" w:space="0" w:color="auto"/>
                      </w:divBdr>
                      <w:divsChild>
                        <w:div w:id="867374657">
                          <w:marLeft w:val="0"/>
                          <w:marRight w:val="0"/>
                          <w:marTop w:val="0"/>
                          <w:marBottom w:val="0"/>
                          <w:divBdr>
                            <w:top w:val="none" w:sz="0" w:space="0" w:color="auto"/>
                            <w:left w:val="none" w:sz="0" w:space="0" w:color="auto"/>
                            <w:bottom w:val="none" w:sz="0" w:space="0" w:color="auto"/>
                            <w:right w:val="none" w:sz="0" w:space="0" w:color="auto"/>
                          </w:divBdr>
                          <w:divsChild>
                            <w:div w:id="278991424">
                              <w:marLeft w:val="0"/>
                              <w:marRight w:val="0"/>
                              <w:marTop w:val="0"/>
                              <w:marBottom w:val="0"/>
                              <w:divBdr>
                                <w:top w:val="none" w:sz="0" w:space="0" w:color="auto"/>
                                <w:left w:val="none" w:sz="0" w:space="0" w:color="auto"/>
                                <w:bottom w:val="none" w:sz="0" w:space="0" w:color="auto"/>
                                <w:right w:val="none" w:sz="0" w:space="0" w:color="auto"/>
                              </w:divBdr>
                              <w:divsChild>
                                <w:div w:id="1193420806">
                                  <w:marLeft w:val="0"/>
                                  <w:marRight w:val="0"/>
                                  <w:marTop w:val="0"/>
                                  <w:marBottom w:val="0"/>
                                  <w:divBdr>
                                    <w:top w:val="none" w:sz="0" w:space="0" w:color="auto"/>
                                    <w:left w:val="none" w:sz="0" w:space="0" w:color="auto"/>
                                    <w:bottom w:val="none" w:sz="0" w:space="0" w:color="auto"/>
                                    <w:right w:val="none" w:sz="0" w:space="0" w:color="auto"/>
                                  </w:divBdr>
                                  <w:divsChild>
                                    <w:div w:id="1751198818">
                                      <w:marLeft w:val="0"/>
                                      <w:marRight w:val="0"/>
                                      <w:marTop w:val="0"/>
                                      <w:marBottom w:val="0"/>
                                      <w:divBdr>
                                        <w:top w:val="none" w:sz="0" w:space="0" w:color="auto"/>
                                        <w:left w:val="none" w:sz="0" w:space="0" w:color="auto"/>
                                        <w:bottom w:val="none" w:sz="0" w:space="0" w:color="auto"/>
                                        <w:right w:val="none" w:sz="0" w:space="0" w:color="auto"/>
                                      </w:divBdr>
                                      <w:divsChild>
                                        <w:div w:id="2021808791">
                                          <w:marLeft w:val="0"/>
                                          <w:marRight w:val="0"/>
                                          <w:marTop w:val="0"/>
                                          <w:marBottom w:val="0"/>
                                          <w:divBdr>
                                            <w:top w:val="none" w:sz="0" w:space="0" w:color="auto"/>
                                            <w:left w:val="none" w:sz="0" w:space="0" w:color="auto"/>
                                            <w:bottom w:val="none" w:sz="0" w:space="0" w:color="auto"/>
                                            <w:right w:val="none" w:sz="0" w:space="0" w:color="auto"/>
                                          </w:divBdr>
                                          <w:divsChild>
                                            <w:div w:id="252860892">
                                              <w:marLeft w:val="0"/>
                                              <w:marRight w:val="0"/>
                                              <w:marTop w:val="0"/>
                                              <w:marBottom w:val="0"/>
                                              <w:divBdr>
                                                <w:top w:val="none" w:sz="0" w:space="0" w:color="auto"/>
                                                <w:left w:val="none" w:sz="0" w:space="0" w:color="auto"/>
                                                <w:bottom w:val="none" w:sz="0" w:space="0" w:color="auto"/>
                                                <w:right w:val="none" w:sz="0" w:space="0" w:color="auto"/>
                                              </w:divBdr>
                                              <w:divsChild>
                                                <w:div w:id="1301501368">
                                                  <w:marLeft w:val="0"/>
                                                  <w:marRight w:val="0"/>
                                                  <w:marTop w:val="0"/>
                                                  <w:marBottom w:val="0"/>
                                                  <w:divBdr>
                                                    <w:top w:val="none" w:sz="0" w:space="0" w:color="auto"/>
                                                    <w:left w:val="none" w:sz="0" w:space="0" w:color="auto"/>
                                                    <w:bottom w:val="none" w:sz="0" w:space="0" w:color="auto"/>
                                                    <w:right w:val="none" w:sz="0" w:space="0" w:color="auto"/>
                                                  </w:divBdr>
                                                  <w:divsChild>
                                                    <w:div w:id="12853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 w:id="1924679713">
      <w:bodyDiv w:val="1"/>
      <w:marLeft w:val="0"/>
      <w:marRight w:val="0"/>
      <w:marTop w:val="0"/>
      <w:marBottom w:val="0"/>
      <w:divBdr>
        <w:top w:val="none" w:sz="0" w:space="0" w:color="auto"/>
        <w:left w:val="none" w:sz="0" w:space="0" w:color="auto"/>
        <w:bottom w:val="none" w:sz="0" w:space="0" w:color="auto"/>
        <w:right w:val="none" w:sz="0" w:space="0" w:color="auto"/>
      </w:divBdr>
      <w:divsChild>
        <w:div w:id="569923863">
          <w:marLeft w:val="0"/>
          <w:marRight w:val="0"/>
          <w:marTop w:val="0"/>
          <w:marBottom w:val="0"/>
          <w:divBdr>
            <w:top w:val="none" w:sz="0" w:space="0" w:color="auto"/>
            <w:left w:val="none" w:sz="0" w:space="0" w:color="auto"/>
            <w:bottom w:val="none" w:sz="0" w:space="0" w:color="auto"/>
            <w:right w:val="none" w:sz="0" w:space="0" w:color="auto"/>
          </w:divBdr>
          <w:divsChild>
            <w:div w:id="416438279">
              <w:marLeft w:val="0"/>
              <w:marRight w:val="0"/>
              <w:marTop w:val="0"/>
              <w:marBottom w:val="0"/>
              <w:divBdr>
                <w:top w:val="none" w:sz="0" w:space="0" w:color="auto"/>
                <w:left w:val="none" w:sz="0" w:space="0" w:color="auto"/>
                <w:bottom w:val="none" w:sz="0" w:space="0" w:color="auto"/>
                <w:right w:val="none" w:sz="0" w:space="0" w:color="auto"/>
              </w:divBdr>
              <w:divsChild>
                <w:div w:id="1056396895">
                  <w:marLeft w:val="0"/>
                  <w:marRight w:val="0"/>
                  <w:marTop w:val="0"/>
                  <w:marBottom w:val="0"/>
                  <w:divBdr>
                    <w:top w:val="none" w:sz="0" w:space="0" w:color="auto"/>
                    <w:left w:val="none" w:sz="0" w:space="0" w:color="auto"/>
                    <w:bottom w:val="none" w:sz="0" w:space="0" w:color="auto"/>
                    <w:right w:val="none" w:sz="0" w:space="0" w:color="auto"/>
                  </w:divBdr>
                  <w:divsChild>
                    <w:div w:id="784354024">
                      <w:marLeft w:val="0"/>
                      <w:marRight w:val="0"/>
                      <w:marTop w:val="0"/>
                      <w:marBottom w:val="0"/>
                      <w:divBdr>
                        <w:top w:val="none" w:sz="0" w:space="0" w:color="auto"/>
                        <w:left w:val="none" w:sz="0" w:space="0" w:color="auto"/>
                        <w:bottom w:val="none" w:sz="0" w:space="0" w:color="auto"/>
                        <w:right w:val="none" w:sz="0" w:space="0" w:color="auto"/>
                      </w:divBdr>
                      <w:divsChild>
                        <w:div w:id="1925915288">
                          <w:marLeft w:val="0"/>
                          <w:marRight w:val="0"/>
                          <w:marTop w:val="0"/>
                          <w:marBottom w:val="0"/>
                          <w:divBdr>
                            <w:top w:val="none" w:sz="0" w:space="0" w:color="auto"/>
                            <w:left w:val="none" w:sz="0" w:space="0" w:color="auto"/>
                            <w:bottom w:val="none" w:sz="0" w:space="0" w:color="auto"/>
                            <w:right w:val="none" w:sz="0" w:space="0" w:color="auto"/>
                          </w:divBdr>
                          <w:divsChild>
                            <w:div w:id="2008358103">
                              <w:marLeft w:val="0"/>
                              <w:marRight w:val="0"/>
                              <w:marTop w:val="0"/>
                              <w:marBottom w:val="0"/>
                              <w:divBdr>
                                <w:top w:val="none" w:sz="0" w:space="0" w:color="auto"/>
                                <w:left w:val="none" w:sz="0" w:space="0" w:color="auto"/>
                                <w:bottom w:val="none" w:sz="0" w:space="0" w:color="auto"/>
                                <w:right w:val="none" w:sz="0" w:space="0" w:color="auto"/>
                              </w:divBdr>
                              <w:divsChild>
                                <w:div w:id="923950577">
                                  <w:marLeft w:val="0"/>
                                  <w:marRight w:val="0"/>
                                  <w:marTop w:val="0"/>
                                  <w:marBottom w:val="0"/>
                                  <w:divBdr>
                                    <w:top w:val="none" w:sz="0" w:space="0" w:color="auto"/>
                                    <w:left w:val="none" w:sz="0" w:space="0" w:color="auto"/>
                                    <w:bottom w:val="none" w:sz="0" w:space="0" w:color="auto"/>
                                    <w:right w:val="none" w:sz="0" w:space="0" w:color="auto"/>
                                  </w:divBdr>
                                  <w:divsChild>
                                    <w:div w:id="839387725">
                                      <w:marLeft w:val="0"/>
                                      <w:marRight w:val="0"/>
                                      <w:marTop w:val="0"/>
                                      <w:marBottom w:val="0"/>
                                      <w:divBdr>
                                        <w:top w:val="none" w:sz="0" w:space="0" w:color="auto"/>
                                        <w:left w:val="none" w:sz="0" w:space="0" w:color="auto"/>
                                        <w:bottom w:val="none" w:sz="0" w:space="0" w:color="auto"/>
                                        <w:right w:val="none" w:sz="0" w:space="0" w:color="auto"/>
                                      </w:divBdr>
                                      <w:divsChild>
                                        <w:div w:id="183635813">
                                          <w:marLeft w:val="0"/>
                                          <w:marRight w:val="0"/>
                                          <w:marTop w:val="0"/>
                                          <w:marBottom w:val="0"/>
                                          <w:divBdr>
                                            <w:top w:val="none" w:sz="0" w:space="0" w:color="auto"/>
                                            <w:left w:val="none" w:sz="0" w:space="0" w:color="auto"/>
                                            <w:bottom w:val="none" w:sz="0" w:space="0" w:color="auto"/>
                                            <w:right w:val="none" w:sz="0" w:space="0" w:color="auto"/>
                                          </w:divBdr>
                                          <w:divsChild>
                                            <w:div w:id="1327636706">
                                              <w:marLeft w:val="0"/>
                                              <w:marRight w:val="0"/>
                                              <w:marTop w:val="0"/>
                                              <w:marBottom w:val="0"/>
                                              <w:divBdr>
                                                <w:top w:val="none" w:sz="0" w:space="0" w:color="auto"/>
                                                <w:left w:val="none" w:sz="0" w:space="0" w:color="auto"/>
                                                <w:bottom w:val="none" w:sz="0" w:space="0" w:color="auto"/>
                                                <w:right w:val="none" w:sz="0" w:space="0" w:color="auto"/>
                                              </w:divBdr>
                                              <w:divsChild>
                                                <w:div w:id="505900829">
                                                  <w:marLeft w:val="0"/>
                                                  <w:marRight w:val="0"/>
                                                  <w:marTop w:val="0"/>
                                                  <w:marBottom w:val="0"/>
                                                  <w:divBdr>
                                                    <w:top w:val="none" w:sz="0" w:space="0" w:color="auto"/>
                                                    <w:left w:val="none" w:sz="0" w:space="0" w:color="auto"/>
                                                    <w:bottom w:val="none" w:sz="0" w:space="0" w:color="auto"/>
                                                    <w:right w:val="none" w:sz="0" w:space="0" w:color="auto"/>
                                                  </w:divBdr>
                                                  <w:divsChild>
                                                    <w:div w:id="10473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91926">
      <w:bodyDiv w:val="1"/>
      <w:marLeft w:val="0"/>
      <w:marRight w:val="0"/>
      <w:marTop w:val="0"/>
      <w:marBottom w:val="0"/>
      <w:divBdr>
        <w:top w:val="none" w:sz="0" w:space="0" w:color="auto"/>
        <w:left w:val="none" w:sz="0" w:space="0" w:color="auto"/>
        <w:bottom w:val="none" w:sz="0" w:space="0" w:color="auto"/>
        <w:right w:val="none" w:sz="0" w:space="0" w:color="auto"/>
      </w:divBdr>
      <w:divsChild>
        <w:div w:id="1945258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7" Type="http://schemas.openxmlformats.org/officeDocument/2006/relationships/hyperlink" Target="https://www.portphillip.vic.gov.au/about-the-council/divercity-enews-and-local-medi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 Id="rId300" Type="http://schemas.openxmlformats.org/officeDocument/2006/relationships/hyperlink" Target="https://classic.austlii.edu.au/au/legis/vic/consol_act/ibaca2011479/s57.html" TargetMode="External"/><Relationship Id="rId301" Type="http://schemas.openxmlformats.org/officeDocument/2006/relationships/hyperlink" Target="https://cppcity.sharepoint.com/sites/PnP/SitePages/Integrity-Framework.aspx" TargetMode="External"/><Relationship Id="rId302" Type="http://schemas.openxmlformats.org/officeDocument/2006/relationships/image" Target="media/flow-002.png"/><Relationship Id="rId303" Type="http://schemas.openxmlformats.org/officeDocument/2006/relationships/hyperlink" Target="https://www.legislation.vic.gov.au/in-force/acts/independent-broad-based-anti-corruption-commission-act-2011" TargetMode="External"/><Relationship Id="rId304" Type="http://schemas.openxmlformats.org/officeDocument/2006/relationships/hyperlink" Target="https://www.legislation.vic.gov.au/in-force/acts/public-interest-disclosures-act-2012" TargetMode="External"/><Relationship Id="rId305" Type="http://schemas.openxmlformats.org/officeDocument/2006/relationships/hyperlink" Target="https://www.legislation.vic.gov.au/in-force/acts/occupational-health-and-safety-act-2004" TargetMode="External"/><Relationship Id="rId306" Type="http://schemas.openxmlformats.org/officeDocument/2006/relationships/hyperlink" Target="https://www.legislation.vic.gov.au/in-force/acts/privacy-and-data-protection-act-2014" TargetMode="External"/><Relationship Id="rId307" Type="http://schemas.openxmlformats.org/officeDocument/2006/relationships/hyperlink" Target="https://www.ibac.vic.gov.au/information-principal-officers" TargetMode="External"/><Relationship Id="rId308" Type="http://schemas.openxmlformats.org/officeDocument/2006/relationships/hyperlink" Target="https://www.ibac.vic.gov.au/media/198/download" TargetMode="External"/><Relationship Id="rId309" Type="http://schemas.openxmlformats.org/officeDocument/2006/relationships/hyperlink" Target="https://www.ibac.vic.gov.au/mandatory-notifications" TargetMode="External"/><Relationship Id="rId310" Type="http://schemas.openxmlformats.org/officeDocument/2006/relationships/hyperlink" Target="https://www.ibac.vic.gov.au/public-interest-disclosure" TargetMode="External"/><Relationship Id="rId311" Type="http://schemas.openxmlformats.org/officeDocument/2006/relationships/hyperlink" Target="https://www.ibac.vic.gov.au/public-interest-disclosure-process" TargetMode="External"/><Relationship Id="rId312" Type="http://schemas.openxmlformats.org/officeDocument/2006/relationships/hyperlink" Target="https://www.ibac.vic.gov.au/publications-and-resources/article/guidelines-for-making-and-handling-protected-disclosures" TargetMode="External"/><Relationship Id="rId313" Type="http://schemas.openxmlformats.org/officeDocument/2006/relationships/hyperlink" Target="https://www.ibac.vic.gov.au/resources-public-interest-disclosure-coordinators" TargetMode="External"/><Relationship Id="rId314" Type="http://schemas.openxmlformats.org/officeDocument/2006/relationships/hyperlink" Target="https://www.ibac.vic.gov.au/investigationguide" TargetMode="External"/><Relationship Id="rId315" Type="http://schemas.openxmlformats.org/officeDocument/2006/relationships/hyperlink" Target="https://www.ibac.vic.gov.au/publications-and-resources/article/case-studies---examples-of-mandatory-notifications-under-section-57-of-the-independent-broad-based-anti-corruption-commission-act-2011" TargetMode="External"/><Relationship Id="rId316" Type="http://schemas.openxmlformats.org/officeDocument/2006/relationships/hyperlink" Target="https://intranet.portphillip.vic.gov.au/guides-tasks-and-tools/governance-integrity-and-legal/fraud-and-corruption/" TargetMode="External"/><Relationship Id="rId317" Type="http://schemas.openxmlformats.org/officeDocument/2006/relationships/hyperlink" Target="https://intranet.portphillip.vic.gov.au/guides-tasks-and-tools/governance-integrity-and-legal/public-interest-disclosures-whistle-blowing/" TargetMode="External"/><Relationship Id="rId318" Type="http://schemas.openxmlformats.org/officeDocument/2006/relationships/hyperlink" Target="https://intranet.portphillip.vic.gov.au/guides-tasks-and-tools/governance-integrity-and-legal/integrity-framework/" TargetMode="External"/><Relationship Id="rId319" Type="http://schemas.openxmlformats.org/officeDocument/2006/relationships/hyperlink" Target="https://intranet.portphillip.vic.gov.au/guides-tasks-and-tools/strategies-policies-plans-frameworks-and-guidelines/policy-bookcase/" TargetMode="External"/><Relationship Id="rId320" Type="http://schemas.openxmlformats.org/officeDocument/2006/relationships/hyperlink" Target="mailto:info@ibac.vic.gov.au" TargetMode="External"/><Relationship Id="rId321" Type="http://schemas.openxmlformats.org/officeDocument/2006/relationships/hyperlink" Target="http://www.ibac.vic.gov.au/" TargetMode="External"/><Relationship Id="rId322" Type="http://schemas.openxmlformats.org/officeDocument/2006/relationships/hyperlink" Target="mailto:governance@portphillip.vic.gov.au" TargetMode="External"/><Relationship Id="rId323" Type="http://schemas.openxmlformats.org/officeDocument/2006/relationships/hyperlink" Target="mailto:james.gullan@portphillip.vic.gov.au" TargetMode="External"/><Relationship Id="rId324" Type="http://schemas.openxmlformats.org/officeDocument/2006/relationships/hyperlink" Target="mailto:julie.snowden@portphillip.vic.gov.au" TargetMode="External"/><Relationship Id="rId325" Type="http://schemas.openxmlformats.org/officeDocument/2006/relationships/hyperlink" Target="mailto:daniel.lew@portphillip.vic.gov.a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F68B1F"/>
      </a:accent1>
      <a:accent2>
        <a:srgbClr val="AF262F"/>
      </a:accent2>
      <a:accent3>
        <a:srgbClr val="6A0006"/>
      </a:accent3>
      <a:accent4>
        <a:srgbClr val="20ABAD"/>
      </a:accent4>
      <a:accent5>
        <a:srgbClr val="007184"/>
      </a:accent5>
      <a:accent6>
        <a:srgbClr val="38322F"/>
      </a:accent6>
      <a:hlink>
        <a:srgbClr val="854505"/>
      </a:hlink>
      <a:folHlink>
        <a:srgbClr val="C7680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46FFA344-E7EF-441C-BCA7-41D33E798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F97C1D20-0468-4C5D-B52E-3951258C46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City of Port Phillip</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Fraud and Corruption – Confidential Internal Management Guidelines</dc:title>
  <dc:subject/>
  <dc:creator>malong</dc:creator>
  <cp:keywords/>
  <dc:description/>
  <cp:lastModifiedBy>Ben Nelson</cp:lastModifiedBy>
  <cp:revision>2</cp:revision>
  <cp:lastPrinted>2026-06-19T05:29:00Z</cp:lastPrinted>
  <dcterms:created xsi:type="dcterms:W3CDTF">2026-08-11T03:18:00Z</dcterms:created>
  <dcterms:modified xsi:type="dcterms:W3CDTF">2026-08-11T03:18:00Z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5235800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