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FDDF" w14:textId="77777777" w:rsidR="0064187A" w:rsidRDefault="0064187A"/>
    <w:p w14:paraId="3F573498" w14:textId="77777777" w:rsidR="0064187A" w:rsidRDefault="0064187A"/>
    <w:p w14:paraId="0F898A3B" w14:textId="77777777" w:rsidR="0064187A" w:rsidRDefault="0064187A"/>
    <w:p w14:paraId="2A88B933" w14:textId="77777777" w:rsidR="0064187A" w:rsidRDefault="0064187A"/>
    <w:p w14:paraId="5A35A31B" w14:textId="77777777" w:rsidR="0064187A" w:rsidRDefault="00000000">
      <w:pPr>
        <w:jc w:val="center"/>
      </w:pPr>
      <w:r>
        <w:rPr>
          <w:b/>
          <w:sz w:val="32"/>
        </w:rPr>
        <w:t>Deep Learning Approaches for Regional Employment Forecasting:</w:t>
      </w:r>
      <w:r>
        <w:rPr>
          <w:b/>
          <w:sz w:val="32"/>
        </w:rPr>
        <w:br/>
        <w:t>An LSTM-Based Analysis of California's Quarterly Census of Employment and Wages</w:t>
      </w:r>
    </w:p>
    <w:p w14:paraId="56BF2AE2" w14:textId="77777777" w:rsidR="0064187A" w:rsidRDefault="0064187A"/>
    <w:p w14:paraId="7EDD0567" w14:textId="77777777" w:rsidR="0064187A" w:rsidRDefault="0064187A"/>
    <w:p w14:paraId="00253071" w14:textId="1DC0EC36" w:rsidR="0064187A" w:rsidRDefault="00000000">
      <w:pPr>
        <w:jc w:val="center"/>
      </w:pPr>
      <w:r>
        <w:rPr>
          <w:b/>
        </w:rPr>
        <w:t xml:space="preserve">Brian McGauley, Andrew, Alejo </w:t>
      </w:r>
    </w:p>
    <w:p w14:paraId="2DC00172" w14:textId="77777777" w:rsidR="0064187A" w:rsidRDefault="00000000">
      <w:pPr>
        <w:jc w:val="center"/>
      </w:pPr>
      <w:r>
        <w:t>IS-160: Information Systems Development</w:t>
      </w:r>
    </w:p>
    <w:p w14:paraId="3A043434" w14:textId="73335B6D" w:rsidR="0064187A" w:rsidRDefault="00CB392A">
      <w:pPr>
        <w:jc w:val="center"/>
      </w:pPr>
      <w:r>
        <w:t>California State University Fresno</w:t>
      </w:r>
    </w:p>
    <w:p w14:paraId="4E53832F" w14:textId="77777777" w:rsidR="0064187A" w:rsidRDefault="0064187A"/>
    <w:p w14:paraId="74DC892C" w14:textId="12A779F4" w:rsidR="0064187A" w:rsidRDefault="00000000">
      <w:pPr>
        <w:jc w:val="center"/>
      </w:pPr>
      <w:r>
        <w:t xml:space="preserve">November </w:t>
      </w:r>
      <w:r w:rsidR="00CB392A">
        <w:t>30</w:t>
      </w:r>
      <w:r w:rsidR="00CB392A" w:rsidRPr="00CB392A">
        <w:rPr>
          <w:vertAlign w:val="superscript"/>
        </w:rPr>
        <w:t>th</w:t>
      </w:r>
      <w:proofErr w:type="gramStart"/>
      <w:r w:rsidR="00CB392A">
        <w:t xml:space="preserve"> </w:t>
      </w:r>
      <w:r>
        <w:t>2025</w:t>
      </w:r>
      <w:proofErr w:type="gramEnd"/>
    </w:p>
    <w:p w14:paraId="4B875ACA" w14:textId="77777777" w:rsidR="0064187A" w:rsidRDefault="00000000">
      <w:r>
        <w:br w:type="page"/>
      </w:r>
    </w:p>
    <w:p w14:paraId="22B2D053" w14:textId="77777777" w:rsidR="0064187A" w:rsidRDefault="00000000">
      <w:pPr>
        <w:pStyle w:val="Heading1"/>
        <w:jc w:val="center"/>
      </w:pPr>
      <w:r>
        <w:lastRenderedPageBreak/>
        <w:t>Abstract</w:t>
      </w:r>
    </w:p>
    <w:p w14:paraId="40EECAEE" w14:textId="77777777" w:rsidR="0064187A" w:rsidRDefault="00000000">
      <w:pPr>
        <w:jc w:val="both"/>
      </w:pPr>
      <w:r>
        <w:t>This study presents a comprehensive deep learning framework for forecasting quarterly employment trends using Long Short-Term Memory (LSTM) neural networks. Leveraging California's Quarterly Census of Employment and Wages (QCEW) dataset spanning 2004 to 2024, we developed an eight-stage data processing pipeline that transforms over 5.4 million raw employment records into sequential features suitable for temporal modeling. Our LSTM architecture, featuring two stacked layers with 64 hidden units each, batch normalization, and dropout regularization, achieved a directional accuracy of 91.38% in predicting employment trend directions. While the model demonstrates strong capability in identifying whether employment will increase or decrease quarter-over-quarter, the Mean Absolute Percentage Error (MAPE) of 169.18% indicates challenges in precise magnitude prediction, attributed primarily to the extreme volatility introduced by the COVID-19 pandemic period. The study contributes a modular, reproducible pipeline architecture and provides empirical insights into the application of recurrent neural networks for regional economic forecasting. Comparative analysis against traditional baseline methods, including ARIMA and exponential smoothing, reveals a 14.04% improvement in RMSE over naive mean prediction. These findings suggest that LSTM networks offer promising capabilities for directional employment forecasting while highlighting the need for enhanced feature engineering and external economic indicators to improve magnitude accuracy.</w:t>
      </w:r>
    </w:p>
    <w:p w14:paraId="23EBF0F1" w14:textId="77777777" w:rsidR="0064187A" w:rsidRDefault="0064187A"/>
    <w:p w14:paraId="2D871748" w14:textId="77777777" w:rsidR="0064187A" w:rsidRDefault="00000000">
      <w:r>
        <w:rPr>
          <w:b/>
        </w:rPr>
        <w:t xml:space="preserve">Keywords: </w:t>
      </w:r>
      <w:r>
        <w:t>LSTM, Employment Forecasting, Time Series Analysis, Deep Learning, QCEW, California Labor Market, Recurrent Neural Networks</w:t>
      </w:r>
    </w:p>
    <w:p w14:paraId="3294F4CE" w14:textId="77777777" w:rsidR="0064187A" w:rsidRDefault="00000000">
      <w:r>
        <w:br w:type="page"/>
      </w:r>
    </w:p>
    <w:p w14:paraId="17805FE6" w14:textId="77777777" w:rsidR="0064187A" w:rsidRDefault="00000000">
      <w:pPr>
        <w:pStyle w:val="Heading1"/>
      </w:pPr>
      <w:r>
        <w:lastRenderedPageBreak/>
        <w:t>1. Introduction</w:t>
      </w:r>
    </w:p>
    <w:p w14:paraId="32EBC4F6" w14:textId="77777777" w:rsidR="0064187A" w:rsidRDefault="00000000">
      <w:pPr>
        <w:jc w:val="both"/>
      </w:pPr>
      <w:r>
        <w:t>Employment forecasting represents a critical challenge for policymakers, workforce development agencies, and business leaders seeking to anticipate labor market dynamics and allocate resources effectively. Accurate predictions of quarterly employment levels enable proactive policy interventions, inform educational program planning, and guide business investment decisions. Traditional econometric approaches, while well-established, often struggle to capture the complex nonlinear patterns and long-range temporal dependencies inherent in employment time series data.</w:t>
      </w:r>
    </w:p>
    <w:p w14:paraId="19EFD302" w14:textId="77777777" w:rsidR="0064187A" w:rsidRDefault="00000000">
      <w:pPr>
        <w:jc w:val="both"/>
      </w:pPr>
      <w:r>
        <w:t>The advent of deep learning techniques, particularly recurrent neural network architectures such as Long Short-Term Memory (LSTM) networks, has opened new avenues for temporal sequence modeling. Unlike traditional statistical methods, LSTM networks possess the capability to learn hierarchical temporal representations and capture dependencies across extended time horizons through their gated memory mechanisms. This architectural innovation makes them particularly well-suited for economic time series that exhibit seasonal patterns, trend components, and complex autocorrelation structures.</w:t>
      </w:r>
    </w:p>
    <w:p w14:paraId="207EABB3" w14:textId="77777777" w:rsidR="0064187A" w:rsidRDefault="00000000">
      <w:pPr>
        <w:jc w:val="both"/>
      </w:pPr>
      <w:r>
        <w:t>This study presents the development and evaluation of an LSTM-based employment forecasting system utilizing California's Quarterly Census of Employment and Wages (QCEW) dataset. The QCEW provides comprehensive establishment-level data on employment and wages across all industries and geographic regions, offering an unprecedented granular view of labor market dynamics over a twenty-year period from 2004 to 2024.</w:t>
      </w:r>
    </w:p>
    <w:p w14:paraId="368DBFCE" w14:textId="77777777" w:rsidR="0064187A" w:rsidRDefault="00000000">
      <w:pPr>
        <w:jc w:val="both"/>
      </w:pPr>
      <w:r>
        <w:t>Our primary research objectives encompass: (1) the construction of a robust, reproducible data processing pipeline capable of handling over 5.4 million employment records; (2) the development of an LSTM architecture optimized for quarterly employment prediction; (3) comprehensive evaluation of model performance against traditional baseline methods; and (4) identification of factors contributing to prediction accuracy and areas requiring further methodological refinement.</w:t>
      </w:r>
    </w:p>
    <w:p w14:paraId="77040A24" w14:textId="77777777" w:rsidR="0064187A" w:rsidRDefault="00000000">
      <w:pPr>
        <w:jc w:val="both"/>
      </w:pPr>
      <w:r>
        <w:t>The remainder of this paper is organized as follows: Section 2 reviews related literature on employment forecasting and deep learning applications in economic prediction. Section 3 describes our methodological approach and pipeline architecture. Section 4 details the dataset characteristics and preprocessing procedures. Section 5 presents the LSTM model architecture. Section 6 reports experimental results, followed by discussion in Section 7. Section 8 concludes with implications and directions for future research.</w:t>
      </w:r>
    </w:p>
    <w:p w14:paraId="7105EBC7" w14:textId="77777777" w:rsidR="0064187A" w:rsidRDefault="00000000">
      <w:pPr>
        <w:pStyle w:val="Heading1"/>
      </w:pPr>
      <w:r>
        <w:lastRenderedPageBreak/>
        <w:t>2. Literature Review</w:t>
      </w:r>
    </w:p>
    <w:p w14:paraId="0B33364B" w14:textId="77777777" w:rsidR="0064187A" w:rsidRDefault="00000000">
      <w:pPr>
        <w:pStyle w:val="Heading2"/>
      </w:pPr>
      <w:r>
        <w:t>2.1 Traditional Employment Forecasting Methods</w:t>
      </w:r>
    </w:p>
    <w:p w14:paraId="46B69E9B" w14:textId="77777777" w:rsidR="0064187A" w:rsidRDefault="00000000">
      <w:pPr>
        <w:jc w:val="both"/>
      </w:pPr>
      <w:r>
        <w:t>The forecasting of employment and labor market indicators has traditionally relied upon econometric techniques rooted in time series analysis. Box-Jenkins ARIMA models have served as foundational tools for capturing autoregressive and moving average components in employment series (Box et al., 2015). Vector Autoregression (VAR) models extend this framework to multivariate settings, enabling analysis of interdependencies between employment across industries and regions (Stock &amp; Watson, 2001). Structural econometric models incorporating leading economic indicators have demonstrated utility in capturing turning points in employment cycles (Neftci, 1982).</w:t>
      </w:r>
    </w:p>
    <w:p w14:paraId="66EF8576" w14:textId="77777777" w:rsidR="0064187A" w:rsidRDefault="00000000">
      <w:pPr>
        <w:pStyle w:val="Heading2"/>
      </w:pPr>
      <w:r>
        <w:t>2.2 Deep Learning for Time Series Forecasting</w:t>
      </w:r>
    </w:p>
    <w:p w14:paraId="0DDFE1F4" w14:textId="77777777" w:rsidR="0064187A" w:rsidRDefault="00000000">
      <w:pPr>
        <w:jc w:val="both"/>
      </w:pPr>
      <w:r>
        <w:t>The application of deep learning to time series forecasting has accelerated substantially in recent years. Recurrent Neural Networks (RNNs), and particularly their LSTM variants, have demonstrated superior performance in capturing long-range temporal dependencies compared to traditional methods (Hochreiter &amp; Schmidhuber, 1997). Seminal work by Graves (2013) established the effectiveness of LSTM networks for sequence modeling tasks, while subsequent research has extended these architectures to economic and financial forecasting applications (Fischer &amp; Krauss, 2018).</w:t>
      </w:r>
    </w:p>
    <w:p w14:paraId="60EBF833" w14:textId="77777777" w:rsidR="0064187A" w:rsidRDefault="00000000">
      <w:pPr>
        <w:pStyle w:val="Heading2"/>
      </w:pPr>
      <w:r>
        <w:t>2.3 Machine Learning in Labor Economics</w:t>
      </w:r>
    </w:p>
    <w:p w14:paraId="579D9CF5" w14:textId="1D999514" w:rsidR="0064187A" w:rsidRDefault="00000000">
      <w:pPr>
        <w:jc w:val="both"/>
      </w:pPr>
      <w:r>
        <w:t>The intersection of machine learning and labor economics remains an emerging field. Mullainathan and Spiess (2017) provide a framework for understanding the complementary roles of prediction and causal inference in economic research. Recent applications have employed gradient boosting methods for unemployment prediction (Chakraborty &amp; Joseph, 2017) and neural networks for wage forecasting (</w:t>
      </w:r>
      <w:proofErr w:type="spellStart"/>
      <w:r w:rsidR="001E3F47" w:rsidRPr="001E3F47">
        <w:t>Patuelli</w:t>
      </w:r>
      <w:proofErr w:type="spellEnd"/>
      <w:r w:rsidR="001E3F47">
        <w:t xml:space="preserve"> </w:t>
      </w:r>
      <w:r>
        <w:t>et al., 20</w:t>
      </w:r>
      <w:r w:rsidR="006758E5">
        <w:t>06</w:t>
      </w:r>
      <w:r>
        <w:t>). However, comprehensive LSTM-based approaches to regional employment forecasting utilizing administrative data sources such as QCEW remain relatively unexplored in the literature.</w:t>
      </w:r>
    </w:p>
    <w:p w14:paraId="549B5A70" w14:textId="77777777" w:rsidR="0064187A" w:rsidRDefault="00000000">
      <w:pPr>
        <w:pStyle w:val="Heading1"/>
      </w:pPr>
      <w:r>
        <w:t>3. Methodology</w:t>
      </w:r>
    </w:p>
    <w:p w14:paraId="66E9690E" w14:textId="77777777" w:rsidR="0064187A" w:rsidRDefault="00000000">
      <w:pPr>
        <w:pStyle w:val="Heading2"/>
      </w:pPr>
      <w:r>
        <w:t>3.1 Pipeline Architecture</w:t>
      </w:r>
    </w:p>
    <w:p w14:paraId="23702D48" w14:textId="77777777" w:rsidR="0064187A" w:rsidRDefault="00000000">
      <w:pPr>
        <w:jc w:val="both"/>
      </w:pPr>
      <w:r>
        <w:t xml:space="preserve">We developed a comprehensive eight-stage data processing and modeling pipeline implementing a three-layer architectural design. The first layer comprises core implementation modules responsible for individual data transformations. The second layer consists of pipeline orchestrators that coordinate related functions into cohesive workflows. The third layer provides master orchestration through a unified </w:t>
      </w:r>
      <w:r>
        <w:lastRenderedPageBreak/>
        <w:t>QCEWPipeline class that manages data flow between stages and maintains configuration state.</w:t>
      </w:r>
    </w:p>
    <w:p w14:paraId="2185EBEA" w14:textId="77777777" w:rsidR="0064187A" w:rsidRDefault="00000000">
      <w:r>
        <w:t>The eight pipeline stages are:</w:t>
      </w:r>
    </w:p>
    <w:p w14:paraId="29B831CC" w14:textId="77777777" w:rsidR="0064187A" w:rsidRDefault="00000000">
      <w:pPr>
        <w:pStyle w:val="ListBullet"/>
        <w:jc w:val="both"/>
      </w:pPr>
      <w:r>
        <w:t>Stage 1: Data Consolidation - Merging six raw CSV files spanning different temporal periods while handling schema variations between 2004-2019 and 2020-2024 data formats.</w:t>
      </w:r>
    </w:p>
    <w:p w14:paraId="1A5B2505" w14:textId="77777777" w:rsidR="0064187A" w:rsidRDefault="00000000">
      <w:pPr>
        <w:pStyle w:val="ListBullet"/>
        <w:jc w:val="both"/>
      </w:pPr>
      <w:r>
        <w:t>Stage 2: Data Exploration - Exploratory data analysis including statistical summaries and visualization generation.</w:t>
      </w:r>
    </w:p>
    <w:p w14:paraId="35A7F65A" w14:textId="77777777" w:rsidR="0064187A" w:rsidRDefault="00000000">
      <w:pPr>
        <w:pStyle w:val="ListBullet"/>
        <w:jc w:val="both"/>
      </w:pPr>
      <w:r>
        <w:t>Stage 3: Data Validation - Quality checks including missing value analysis, range validation, and anomaly detection.</w:t>
      </w:r>
    </w:p>
    <w:p w14:paraId="07A2A3C1" w14:textId="77777777" w:rsidR="0064187A" w:rsidRDefault="00000000">
      <w:pPr>
        <w:pStyle w:val="ListBullet"/>
        <w:jc w:val="both"/>
      </w:pPr>
      <w:r>
        <w:t>Stage 4: Feature Engineering - Creation of temporal, geographic, and industry-based features including lagged values, rolling averages, and growth rates.</w:t>
      </w:r>
    </w:p>
    <w:p w14:paraId="0570DA6A" w14:textId="77777777" w:rsidR="0064187A" w:rsidRDefault="00000000">
      <w:pPr>
        <w:pStyle w:val="ListBullet"/>
        <w:jc w:val="both"/>
      </w:pPr>
      <w:r>
        <w:t>Stage 5: Data Preprocessing - Normalization using RobustScaler, categorical encoding, and sequence transformation for LSTM input.</w:t>
      </w:r>
    </w:p>
    <w:p w14:paraId="5577C9EE" w14:textId="77777777" w:rsidR="0064187A" w:rsidRDefault="00000000">
      <w:pPr>
        <w:pStyle w:val="ListBullet"/>
        <w:jc w:val="both"/>
      </w:pPr>
      <w:r>
        <w:t>Stage 6: Model Training - LSTM network training with early stopping, learning rate scheduling, and model checkpointing.</w:t>
      </w:r>
    </w:p>
    <w:p w14:paraId="6F8A9CDB" w14:textId="77777777" w:rsidR="0064187A" w:rsidRDefault="00000000">
      <w:pPr>
        <w:pStyle w:val="ListBullet"/>
        <w:jc w:val="both"/>
      </w:pPr>
      <w:r>
        <w:t>Stage 7: Model Evaluation - Performance assessment using multiple metrics and baseline comparisons.</w:t>
      </w:r>
    </w:p>
    <w:p w14:paraId="33B05EE4" w14:textId="77777777" w:rsidR="0064187A" w:rsidRDefault="00000000">
      <w:pPr>
        <w:pStyle w:val="ListBullet"/>
        <w:jc w:val="both"/>
      </w:pPr>
      <w:r>
        <w:t>Stage 8: Prediction Interface - Interactive system for generating employment forecasts.</w:t>
      </w:r>
    </w:p>
    <w:p w14:paraId="103528DF" w14:textId="77777777" w:rsidR="0064187A" w:rsidRDefault="00000000">
      <w:pPr>
        <w:pStyle w:val="Heading2"/>
      </w:pPr>
      <w:r>
        <w:t>3.2 Temporal Validation Strategy</w:t>
      </w:r>
    </w:p>
    <w:p w14:paraId="626DB6E5" w14:textId="77777777" w:rsidR="0064187A" w:rsidRDefault="00000000">
      <w:pPr>
        <w:jc w:val="both"/>
      </w:pPr>
      <w:r>
        <w:t>Given the temporal nature of employment data, we implemented a walk-forward validation approach that preserves chronological ordering throughout the modeling process. The dataset was partitioned into training (70%), validation (20%), and test (10%) sets without shuffling, ensuring that all validation and test observations occur after the training period. This design prevents data leakage and provides realistic estimates of out-of-sample performance.</w:t>
      </w:r>
    </w:p>
    <w:p w14:paraId="260E5EC3" w14:textId="77777777" w:rsidR="0064187A" w:rsidRDefault="00000000">
      <w:pPr>
        <w:pStyle w:val="Heading1"/>
      </w:pPr>
      <w:r>
        <w:t>4. Data Description</w:t>
      </w:r>
    </w:p>
    <w:p w14:paraId="10562414" w14:textId="77777777" w:rsidR="0064187A" w:rsidRDefault="00000000">
      <w:pPr>
        <w:pStyle w:val="Heading2"/>
      </w:pPr>
      <w:r>
        <w:t>4.1 The QCEW Dataset</w:t>
      </w:r>
    </w:p>
    <w:p w14:paraId="53B2C072" w14:textId="77777777" w:rsidR="0064187A" w:rsidRDefault="00000000">
      <w:pPr>
        <w:jc w:val="both"/>
      </w:pPr>
      <w:r>
        <w:t>The Quarterly Census of Employment and Wages (QCEW) program produces a comprehensive tabulation of employment and wages reported by employers subject to state unemployment insurance laws. The California Employment Development Department (EDD) releases this data quarterly, providing establishment-level information on employment counts, total wages, and average weekly wages across all industries classified by the North American Industry Classification System (NAICS).</w:t>
      </w:r>
    </w:p>
    <w:p w14:paraId="0B8DC390" w14:textId="77777777" w:rsidR="0064187A" w:rsidRDefault="00000000">
      <w:pPr>
        <w:jc w:val="both"/>
      </w:pPr>
      <w:r>
        <w:lastRenderedPageBreak/>
        <w:t>Our dataset comprises 5,430,384 records spanning the period from Q1 2004 through Q4 2024, encompassing all 58 California counties and over 2,400 unique industry classifications. The consolidation process addressed schema variations between earlier (2004-2019) and recent (2020-2024) data releases, normalizing column naming conventions and ensuring consistent data types.</w:t>
      </w:r>
    </w:p>
    <w:p w14:paraId="58941F3D" w14:textId="77777777" w:rsidR="0064187A" w:rsidRDefault="00000000">
      <w:pPr>
        <w:pStyle w:val="Heading2"/>
      </w:pPr>
      <w:r>
        <w:t>4.2 Data Quality Assessment</w:t>
      </w:r>
    </w:p>
    <w:tbl>
      <w:tblPr>
        <w:tblStyle w:val="TableGrid"/>
        <w:tblW w:w="0" w:type="auto"/>
        <w:jc w:val="center"/>
        <w:tblLook w:val="04A0" w:firstRow="1" w:lastRow="0" w:firstColumn="1" w:lastColumn="0" w:noHBand="0" w:noVBand="1"/>
      </w:tblPr>
      <w:tblGrid>
        <w:gridCol w:w="4320"/>
        <w:gridCol w:w="4320"/>
      </w:tblGrid>
      <w:tr w:rsidR="0064187A" w14:paraId="356786C3" w14:textId="77777777">
        <w:trPr>
          <w:jc w:val="center"/>
        </w:trPr>
        <w:tc>
          <w:tcPr>
            <w:tcW w:w="4320" w:type="dxa"/>
          </w:tcPr>
          <w:p w14:paraId="457F3C47" w14:textId="77777777" w:rsidR="0064187A" w:rsidRDefault="00000000">
            <w:r>
              <w:rPr>
                <w:b/>
              </w:rPr>
              <w:t>Metric</w:t>
            </w:r>
          </w:p>
        </w:tc>
        <w:tc>
          <w:tcPr>
            <w:tcW w:w="4320" w:type="dxa"/>
          </w:tcPr>
          <w:p w14:paraId="3D3856D2" w14:textId="77777777" w:rsidR="0064187A" w:rsidRDefault="00000000">
            <w:r>
              <w:rPr>
                <w:b/>
              </w:rPr>
              <w:t>Value</w:t>
            </w:r>
          </w:p>
        </w:tc>
      </w:tr>
      <w:tr w:rsidR="0064187A" w14:paraId="04BCAAE7" w14:textId="77777777">
        <w:trPr>
          <w:jc w:val="center"/>
        </w:trPr>
        <w:tc>
          <w:tcPr>
            <w:tcW w:w="4320" w:type="dxa"/>
          </w:tcPr>
          <w:p w14:paraId="5FA9C3D3" w14:textId="77777777" w:rsidR="0064187A" w:rsidRDefault="00000000">
            <w:r>
              <w:t>Total Records</w:t>
            </w:r>
          </w:p>
        </w:tc>
        <w:tc>
          <w:tcPr>
            <w:tcW w:w="4320" w:type="dxa"/>
          </w:tcPr>
          <w:p w14:paraId="0ECA5F74" w14:textId="77777777" w:rsidR="0064187A" w:rsidRDefault="00000000">
            <w:r>
              <w:t>5,430,384</w:t>
            </w:r>
          </w:p>
        </w:tc>
      </w:tr>
      <w:tr w:rsidR="0064187A" w14:paraId="1C0E182A" w14:textId="77777777">
        <w:trPr>
          <w:jc w:val="center"/>
        </w:trPr>
        <w:tc>
          <w:tcPr>
            <w:tcW w:w="4320" w:type="dxa"/>
          </w:tcPr>
          <w:p w14:paraId="54F51784" w14:textId="77777777" w:rsidR="0064187A" w:rsidRDefault="00000000">
            <w:r>
              <w:t>Data Quality Score</w:t>
            </w:r>
          </w:p>
        </w:tc>
        <w:tc>
          <w:tcPr>
            <w:tcW w:w="4320" w:type="dxa"/>
          </w:tcPr>
          <w:p w14:paraId="5993F440" w14:textId="77777777" w:rsidR="0064187A" w:rsidRDefault="00000000">
            <w:r>
              <w:t>85.9%</w:t>
            </w:r>
          </w:p>
        </w:tc>
      </w:tr>
      <w:tr w:rsidR="0064187A" w14:paraId="601B755C" w14:textId="77777777">
        <w:trPr>
          <w:jc w:val="center"/>
        </w:trPr>
        <w:tc>
          <w:tcPr>
            <w:tcW w:w="4320" w:type="dxa"/>
          </w:tcPr>
          <w:p w14:paraId="63C1BFB9" w14:textId="77777777" w:rsidR="0064187A" w:rsidRDefault="00000000">
            <w:r>
              <w:t>County-Level Records</w:t>
            </w:r>
          </w:p>
        </w:tc>
        <w:tc>
          <w:tcPr>
            <w:tcW w:w="4320" w:type="dxa"/>
          </w:tcPr>
          <w:p w14:paraId="1AE50C74" w14:textId="77777777" w:rsidR="0064187A" w:rsidRDefault="00000000">
            <w:r>
              <w:t>4,732,218 (87.1%)</w:t>
            </w:r>
          </w:p>
        </w:tc>
      </w:tr>
      <w:tr w:rsidR="0064187A" w14:paraId="599B8DD3" w14:textId="77777777">
        <w:trPr>
          <w:jc w:val="center"/>
        </w:trPr>
        <w:tc>
          <w:tcPr>
            <w:tcW w:w="4320" w:type="dxa"/>
          </w:tcPr>
          <w:p w14:paraId="1872459B" w14:textId="77777777" w:rsidR="0064187A" w:rsidRDefault="00000000">
            <w:r>
              <w:t>Average Weekly Wage</w:t>
            </w:r>
          </w:p>
        </w:tc>
        <w:tc>
          <w:tcPr>
            <w:tcW w:w="4320" w:type="dxa"/>
          </w:tcPr>
          <w:p w14:paraId="72E51675" w14:textId="77777777" w:rsidR="0064187A" w:rsidRDefault="00000000">
            <w:r>
              <w:t>$1,035</w:t>
            </w:r>
          </w:p>
        </w:tc>
      </w:tr>
      <w:tr w:rsidR="0064187A" w14:paraId="3081DC2E" w14:textId="77777777">
        <w:trPr>
          <w:jc w:val="center"/>
        </w:trPr>
        <w:tc>
          <w:tcPr>
            <w:tcW w:w="4320" w:type="dxa"/>
          </w:tcPr>
          <w:p w14:paraId="3F9CB34A" w14:textId="77777777" w:rsidR="0064187A" w:rsidRDefault="00000000">
            <w:r>
              <w:t>Employment Range</w:t>
            </w:r>
          </w:p>
        </w:tc>
        <w:tc>
          <w:tcPr>
            <w:tcW w:w="4320" w:type="dxa"/>
          </w:tcPr>
          <w:p w14:paraId="7996FD57" w14:textId="77777777" w:rsidR="0064187A" w:rsidRDefault="00000000">
            <w:r>
              <w:t>0 - 156,042,582</w:t>
            </w:r>
          </w:p>
        </w:tc>
      </w:tr>
    </w:tbl>
    <w:p w14:paraId="00E8A802" w14:textId="77777777" w:rsidR="0064187A" w:rsidRDefault="0064187A"/>
    <w:p w14:paraId="7881F94A" w14:textId="77777777" w:rsidR="0064187A" w:rsidRDefault="00000000">
      <w:pPr>
        <w:pStyle w:val="Heading2"/>
      </w:pPr>
      <w:r>
        <w:t>4.3 Feature Engineering</w:t>
      </w:r>
    </w:p>
    <w:p w14:paraId="2D457E4D" w14:textId="77777777" w:rsidR="0064187A" w:rsidRDefault="00000000">
      <w:pPr>
        <w:jc w:val="both"/>
      </w:pPr>
      <w:r>
        <w:t>The feature engineering phase (Stage 4) implemented a systematic approach to creating informative predictors for the LSTM model. Features were organized into three categories: (1) Temporal features including lagged employment values at t-1, t-4, and t-8 quarters, quarter-over-quarter growth rates, year-over-year changes, and rolling averages over 4-quarter and 8-quarter windows; (2) Geographic features encoding county-level indicators and regional clustering for the Central Valley focus area; and (3) Industry features capturing NAICS classifications, ownership type, and industry concentration metrics. The final feature set comprised 24 engineered features per observation.</w:t>
      </w:r>
    </w:p>
    <w:p w14:paraId="5E0B1D13" w14:textId="77777777" w:rsidR="0064187A" w:rsidRDefault="00000000">
      <w:pPr>
        <w:pStyle w:val="Heading1"/>
      </w:pPr>
      <w:r>
        <w:t>5. Model Architecture</w:t>
      </w:r>
    </w:p>
    <w:p w14:paraId="6B673838" w14:textId="77777777" w:rsidR="0064187A" w:rsidRDefault="00000000">
      <w:pPr>
        <w:pStyle w:val="Heading2"/>
      </w:pPr>
      <w:r>
        <w:t>5.1 LSTM Network Design</w:t>
      </w:r>
    </w:p>
    <w:p w14:paraId="71E49FC5" w14:textId="77777777" w:rsidR="0064187A" w:rsidRDefault="00000000">
      <w:pPr>
        <w:jc w:val="both"/>
      </w:pPr>
      <w:r>
        <w:t>The LSTM architecture was designed to balance model capacity with regularization to prevent overfitting on the training data. The network accepts input sequences of shape (batch_size, 12, 24), representing 12 quarterly timesteps with 24 features per timestep. This three-year lookback window captures seasonal patterns while maintaining sufficient observations for learning.</w:t>
      </w:r>
    </w:p>
    <w:p w14:paraId="6AD24A44" w14:textId="77777777" w:rsidR="0064187A" w:rsidRDefault="00000000">
      <w:pPr>
        <w:jc w:val="both"/>
      </w:pPr>
      <w:r>
        <w:t>The network comprises two stacked LSTM layers, each with 64 hidden units. Inter-layer dropout of 0.2 provides regularization between the LSTM layers. Following the recurrent layers, batch normalization is applied to the hidden state output, stabilizing training dynamics and improving convergence. A final dropout layer (p=0.2) precedes the output linear transformation, which maps the 64-dimensional hidden representation to a single scalar employment prediction.</w:t>
      </w:r>
    </w:p>
    <w:p w14:paraId="2077FCBB" w14:textId="77777777" w:rsidR="0064187A" w:rsidRDefault="00000000">
      <w:r>
        <w:t>Table 2: LSTM Architecture Specification</w:t>
      </w:r>
    </w:p>
    <w:tbl>
      <w:tblPr>
        <w:tblStyle w:val="TableGrid"/>
        <w:tblW w:w="0" w:type="auto"/>
        <w:tblLook w:val="04A0" w:firstRow="1" w:lastRow="0" w:firstColumn="1" w:lastColumn="0" w:noHBand="0" w:noVBand="1"/>
      </w:tblPr>
      <w:tblGrid>
        <w:gridCol w:w="2880"/>
        <w:gridCol w:w="2880"/>
        <w:gridCol w:w="2880"/>
      </w:tblGrid>
      <w:tr w:rsidR="0064187A" w14:paraId="5C4A6115" w14:textId="77777777">
        <w:tc>
          <w:tcPr>
            <w:tcW w:w="2880" w:type="dxa"/>
          </w:tcPr>
          <w:p w14:paraId="3627464F" w14:textId="77777777" w:rsidR="0064187A" w:rsidRDefault="00000000">
            <w:r>
              <w:rPr>
                <w:b/>
              </w:rPr>
              <w:lastRenderedPageBreak/>
              <w:t>Layer</w:t>
            </w:r>
          </w:p>
        </w:tc>
        <w:tc>
          <w:tcPr>
            <w:tcW w:w="2880" w:type="dxa"/>
          </w:tcPr>
          <w:p w14:paraId="1BC11D44" w14:textId="77777777" w:rsidR="0064187A" w:rsidRDefault="00000000">
            <w:r>
              <w:rPr>
                <w:b/>
              </w:rPr>
              <w:t>Configuration</w:t>
            </w:r>
          </w:p>
        </w:tc>
        <w:tc>
          <w:tcPr>
            <w:tcW w:w="2880" w:type="dxa"/>
          </w:tcPr>
          <w:p w14:paraId="5A8C8800" w14:textId="77777777" w:rsidR="0064187A" w:rsidRDefault="00000000">
            <w:r>
              <w:rPr>
                <w:b/>
              </w:rPr>
              <w:t>Output Shape</w:t>
            </w:r>
          </w:p>
        </w:tc>
      </w:tr>
      <w:tr w:rsidR="0064187A" w14:paraId="73D06118" w14:textId="77777777">
        <w:tc>
          <w:tcPr>
            <w:tcW w:w="2880" w:type="dxa"/>
          </w:tcPr>
          <w:p w14:paraId="2C7B50DA" w14:textId="77777777" w:rsidR="0064187A" w:rsidRDefault="00000000">
            <w:r>
              <w:t>Input</w:t>
            </w:r>
          </w:p>
        </w:tc>
        <w:tc>
          <w:tcPr>
            <w:tcW w:w="2880" w:type="dxa"/>
          </w:tcPr>
          <w:p w14:paraId="11D97618" w14:textId="77777777" w:rsidR="0064187A" w:rsidRDefault="00000000">
            <w:r>
              <w:t>-</w:t>
            </w:r>
          </w:p>
        </w:tc>
        <w:tc>
          <w:tcPr>
            <w:tcW w:w="2880" w:type="dxa"/>
          </w:tcPr>
          <w:p w14:paraId="5E94215A" w14:textId="77777777" w:rsidR="0064187A" w:rsidRDefault="00000000">
            <w:r>
              <w:t>(batch, 12, 24)</w:t>
            </w:r>
          </w:p>
        </w:tc>
      </w:tr>
      <w:tr w:rsidR="0064187A" w14:paraId="2AA3503A" w14:textId="77777777">
        <w:tc>
          <w:tcPr>
            <w:tcW w:w="2880" w:type="dxa"/>
          </w:tcPr>
          <w:p w14:paraId="1C29C909" w14:textId="77777777" w:rsidR="0064187A" w:rsidRDefault="00000000">
            <w:r>
              <w:t>LSTM Layer 1</w:t>
            </w:r>
          </w:p>
        </w:tc>
        <w:tc>
          <w:tcPr>
            <w:tcW w:w="2880" w:type="dxa"/>
          </w:tcPr>
          <w:p w14:paraId="0A1226BB" w14:textId="77777777" w:rsidR="0064187A" w:rsidRDefault="00000000">
            <w:r>
              <w:t>hidden=64, dropout=0.2</w:t>
            </w:r>
          </w:p>
        </w:tc>
        <w:tc>
          <w:tcPr>
            <w:tcW w:w="2880" w:type="dxa"/>
          </w:tcPr>
          <w:p w14:paraId="756479D8" w14:textId="77777777" w:rsidR="0064187A" w:rsidRDefault="00000000">
            <w:r>
              <w:t>(batch, 12, 64)</w:t>
            </w:r>
          </w:p>
        </w:tc>
      </w:tr>
      <w:tr w:rsidR="0064187A" w14:paraId="643B6F59" w14:textId="77777777">
        <w:tc>
          <w:tcPr>
            <w:tcW w:w="2880" w:type="dxa"/>
          </w:tcPr>
          <w:p w14:paraId="5649852E" w14:textId="77777777" w:rsidR="0064187A" w:rsidRDefault="00000000">
            <w:r>
              <w:t>LSTM Layer 2</w:t>
            </w:r>
          </w:p>
        </w:tc>
        <w:tc>
          <w:tcPr>
            <w:tcW w:w="2880" w:type="dxa"/>
          </w:tcPr>
          <w:p w14:paraId="5D8713D2" w14:textId="77777777" w:rsidR="0064187A" w:rsidRDefault="00000000">
            <w:r>
              <w:t>hidden=64, dropout=0.2</w:t>
            </w:r>
          </w:p>
        </w:tc>
        <w:tc>
          <w:tcPr>
            <w:tcW w:w="2880" w:type="dxa"/>
          </w:tcPr>
          <w:p w14:paraId="22103E86" w14:textId="77777777" w:rsidR="0064187A" w:rsidRDefault="00000000">
            <w:r>
              <w:t>(batch, 12, 64)</w:t>
            </w:r>
          </w:p>
        </w:tc>
      </w:tr>
      <w:tr w:rsidR="0064187A" w14:paraId="6285E5D1" w14:textId="77777777">
        <w:tc>
          <w:tcPr>
            <w:tcW w:w="2880" w:type="dxa"/>
          </w:tcPr>
          <w:p w14:paraId="572B8CE9" w14:textId="77777777" w:rsidR="0064187A" w:rsidRDefault="00000000">
            <w:r>
              <w:t>Select Last Timestep</w:t>
            </w:r>
          </w:p>
        </w:tc>
        <w:tc>
          <w:tcPr>
            <w:tcW w:w="2880" w:type="dxa"/>
          </w:tcPr>
          <w:p w14:paraId="3CC9AFD8" w14:textId="77777777" w:rsidR="0064187A" w:rsidRDefault="00000000">
            <w:r>
              <w:t>[:, -1, :]</w:t>
            </w:r>
          </w:p>
        </w:tc>
        <w:tc>
          <w:tcPr>
            <w:tcW w:w="2880" w:type="dxa"/>
          </w:tcPr>
          <w:p w14:paraId="206BCC36" w14:textId="77777777" w:rsidR="0064187A" w:rsidRDefault="00000000">
            <w:r>
              <w:t>(batch, 64)</w:t>
            </w:r>
          </w:p>
        </w:tc>
      </w:tr>
      <w:tr w:rsidR="0064187A" w14:paraId="2DF25405" w14:textId="77777777">
        <w:tc>
          <w:tcPr>
            <w:tcW w:w="2880" w:type="dxa"/>
          </w:tcPr>
          <w:p w14:paraId="45CE7797" w14:textId="77777777" w:rsidR="0064187A" w:rsidRDefault="00000000">
            <w:r>
              <w:t>Batch Normalization</w:t>
            </w:r>
          </w:p>
        </w:tc>
        <w:tc>
          <w:tcPr>
            <w:tcW w:w="2880" w:type="dxa"/>
          </w:tcPr>
          <w:p w14:paraId="1CCEAE94" w14:textId="77777777" w:rsidR="0064187A" w:rsidRDefault="00000000">
            <w:r>
              <w:t>64 features</w:t>
            </w:r>
          </w:p>
        </w:tc>
        <w:tc>
          <w:tcPr>
            <w:tcW w:w="2880" w:type="dxa"/>
          </w:tcPr>
          <w:p w14:paraId="400C2B9F" w14:textId="77777777" w:rsidR="0064187A" w:rsidRDefault="00000000">
            <w:r>
              <w:t>(batch, 64)</w:t>
            </w:r>
          </w:p>
        </w:tc>
      </w:tr>
      <w:tr w:rsidR="0064187A" w14:paraId="006A17F6" w14:textId="77777777">
        <w:tc>
          <w:tcPr>
            <w:tcW w:w="2880" w:type="dxa"/>
          </w:tcPr>
          <w:p w14:paraId="448E14D0" w14:textId="77777777" w:rsidR="0064187A" w:rsidRDefault="00000000">
            <w:r>
              <w:t>Dropout</w:t>
            </w:r>
          </w:p>
        </w:tc>
        <w:tc>
          <w:tcPr>
            <w:tcW w:w="2880" w:type="dxa"/>
          </w:tcPr>
          <w:p w14:paraId="19C156F7" w14:textId="77777777" w:rsidR="0064187A" w:rsidRDefault="00000000">
            <w:r>
              <w:t>p=0.2</w:t>
            </w:r>
          </w:p>
        </w:tc>
        <w:tc>
          <w:tcPr>
            <w:tcW w:w="2880" w:type="dxa"/>
          </w:tcPr>
          <w:p w14:paraId="29320EAF" w14:textId="77777777" w:rsidR="0064187A" w:rsidRDefault="00000000">
            <w:r>
              <w:t>(batch, 64)</w:t>
            </w:r>
          </w:p>
        </w:tc>
      </w:tr>
      <w:tr w:rsidR="0064187A" w14:paraId="793EE467" w14:textId="77777777">
        <w:tc>
          <w:tcPr>
            <w:tcW w:w="2880" w:type="dxa"/>
          </w:tcPr>
          <w:p w14:paraId="0125D751" w14:textId="77777777" w:rsidR="0064187A" w:rsidRDefault="00000000">
            <w:r>
              <w:t>Linear Output</w:t>
            </w:r>
          </w:p>
        </w:tc>
        <w:tc>
          <w:tcPr>
            <w:tcW w:w="2880" w:type="dxa"/>
          </w:tcPr>
          <w:p w14:paraId="23C1F294" w14:textId="77777777" w:rsidR="0064187A" w:rsidRDefault="00000000">
            <w:r>
              <w:t>64 -&gt; 1</w:t>
            </w:r>
          </w:p>
        </w:tc>
        <w:tc>
          <w:tcPr>
            <w:tcW w:w="2880" w:type="dxa"/>
          </w:tcPr>
          <w:p w14:paraId="6283E6EC" w14:textId="77777777" w:rsidR="0064187A" w:rsidRDefault="00000000">
            <w:r>
              <w:t>(batch, 1)</w:t>
            </w:r>
          </w:p>
        </w:tc>
      </w:tr>
    </w:tbl>
    <w:p w14:paraId="7CCD44E4" w14:textId="77777777" w:rsidR="0064187A" w:rsidRDefault="0064187A"/>
    <w:p w14:paraId="69D8DA3C" w14:textId="77777777" w:rsidR="0064187A" w:rsidRDefault="00000000">
      <w:pPr>
        <w:pStyle w:val="Heading2"/>
      </w:pPr>
      <w:r>
        <w:t>5.2 Training Configuration</w:t>
      </w:r>
    </w:p>
    <w:p w14:paraId="3F390FEE" w14:textId="77777777" w:rsidR="0064187A" w:rsidRDefault="00000000">
      <w:pPr>
        <w:jc w:val="both"/>
      </w:pPr>
      <w:r>
        <w:t>Model training employed the Adam optimizer with an initial learning rate of 0.001. A ReduceLROnPlateau scheduler monitored validation loss, reducing the learning rate by a factor of 0.5 after 5 epochs without improvement. Early stopping with patience of 15 epochs prevented overfitting while allowing sufficient training iterations. Gradient clipping with a maximum norm of 1.0 ensured training stability. The mean squared error (MSE) loss function was minimized during training, consistent with the regression objective. Training was conducted on CUDA-enabled GPU hardware with batch size of 32.</w:t>
      </w:r>
    </w:p>
    <w:p w14:paraId="0B24F907" w14:textId="77777777" w:rsidR="0064187A" w:rsidRDefault="00000000">
      <w:pPr>
        <w:pStyle w:val="Heading1"/>
      </w:pPr>
      <w:r>
        <w:t>6. Results</w:t>
      </w:r>
    </w:p>
    <w:p w14:paraId="247233AC" w14:textId="77777777" w:rsidR="0064187A" w:rsidRDefault="00000000">
      <w:pPr>
        <w:pStyle w:val="Heading2"/>
      </w:pPr>
      <w:r>
        <w:t>6.1 Model Performance Metrics</w:t>
      </w:r>
    </w:p>
    <w:p w14:paraId="4C3514D1" w14:textId="77777777" w:rsidR="0064187A" w:rsidRDefault="00000000">
      <w:pPr>
        <w:jc w:val="both"/>
      </w:pPr>
      <w:r>
        <w:t>The trained LSTM model was evaluated on the held-out test set comprising 599,582 sequences. Table 3 presents the comprehensive performance metrics achieved by the model.</w:t>
      </w:r>
    </w:p>
    <w:p w14:paraId="2B6C6CC5" w14:textId="77777777" w:rsidR="0064187A" w:rsidRDefault="00000000">
      <w:r>
        <w:t>Table 3: LSTM Model Performance Metrics</w:t>
      </w:r>
    </w:p>
    <w:tbl>
      <w:tblPr>
        <w:tblStyle w:val="TableGrid"/>
        <w:tblW w:w="0" w:type="auto"/>
        <w:tblLook w:val="04A0" w:firstRow="1" w:lastRow="0" w:firstColumn="1" w:lastColumn="0" w:noHBand="0" w:noVBand="1"/>
      </w:tblPr>
      <w:tblGrid>
        <w:gridCol w:w="2880"/>
        <w:gridCol w:w="2880"/>
        <w:gridCol w:w="2880"/>
      </w:tblGrid>
      <w:tr w:rsidR="0064187A" w14:paraId="6634A2E6" w14:textId="77777777">
        <w:tc>
          <w:tcPr>
            <w:tcW w:w="2880" w:type="dxa"/>
          </w:tcPr>
          <w:p w14:paraId="7995890B" w14:textId="77777777" w:rsidR="0064187A" w:rsidRDefault="00000000">
            <w:r>
              <w:rPr>
                <w:b/>
              </w:rPr>
              <w:t>Metric</w:t>
            </w:r>
          </w:p>
        </w:tc>
        <w:tc>
          <w:tcPr>
            <w:tcW w:w="2880" w:type="dxa"/>
          </w:tcPr>
          <w:p w14:paraId="78B77623" w14:textId="77777777" w:rsidR="0064187A" w:rsidRDefault="00000000">
            <w:r>
              <w:rPr>
                <w:b/>
              </w:rPr>
              <w:t>Value</w:t>
            </w:r>
          </w:p>
        </w:tc>
        <w:tc>
          <w:tcPr>
            <w:tcW w:w="2880" w:type="dxa"/>
          </w:tcPr>
          <w:p w14:paraId="313C0265" w14:textId="77777777" w:rsidR="0064187A" w:rsidRDefault="00000000">
            <w:r>
              <w:rPr>
                <w:b/>
              </w:rPr>
              <w:t>Target</w:t>
            </w:r>
          </w:p>
        </w:tc>
      </w:tr>
      <w:tr w:rsidR="0064187A" w14:paraId="5331A134" w14:textId="77777777">
        <w:tc>
          <w:tcPr>
            <w:tcW w:w="2880" w:type="dxa"/>
          </w:tcPr>
          <w:p w14:paraId="0C5A32F7" w14:textId="77777777" w:rsidR="0064187A" w:rsidRDefault="00000000">
            <w:r>
              <w:t>RMSE</w:t>
            </w:r>
          </w:p>
        </w:tc>
        <w:tc>
          <w:tcPr>
            <w:tcW w:w="2880" w:type="dxa"/>
          </w:tcPr>
          <w:p w14:paraId="7B61E64C" w14:textId="77777777" w:rsidR="0064187A" w:rsidRDefault="00000000">
            <w:r>
              <w:t>9.0985</w:t>
            </w:r>
          </w:p>
        </w:tc>
        <w:tc>
          <w:tcPr>
            <w:tcW w:w="2880" w:type="dxa"/>
          </w:tcPr>
          <w:p w14:paraId="75CCF721" w14:textId="77777777" w:rsidR="0064187A" w:rsidRDefault="00000000">
            <w:r>
              <w:t>Lower is better</w:t>
            </w:r>
          </w:p>
        </w:tc>
      </w:tr>
      <w:tr w:rsidR="0064187A" w14:paraId="3DF71FDE" w14:textId="77777777">
        <w:tc>
          <w:tcPr>
            <w:tcW w:w="2880" w:type="dxa"/>
          </w:tcPr>
          <w:p w14:paraId="3202173E" w14:textId="77777777" w:rsidR="0064187A" w:rsidRDefault="00000000">
            <w:r>
              <w:t>MAE</w:t>
            </w:r>
          </w:p>
        </w:tc>
        <w:tc>
          <w:tcPr>
            <w:tcW w:w="2880" w:type="dxa"/>
          </w:tcPr>
          <w:p w14:paraId="154266B7" w14:textId="77777777" w:rsidR="0064187A" w:rsidRDefault="00000000">
            <w:r>
              <w:t>2.4037</w:t>
            </w:r>
          </w:p>
        </w:tc>
        <w:tc>
          <w:tcPr>
            <w:tcW w:w="2880" w:type="dxa"/>
          </w:tcPr>
          <w:p w14:paraId="2F6B2F02" w14:textId="77777777" w:rsidR="0064187A" w:rsidRDefault="00000000">
            <w:r>
              <w:t>Lower is better</w:t>
            </w:r>
          </w:p>
        </w:tc>
      </w:tr>
      <w:tr w:rsidR="0064187A" w14:paraId="60731582" w14:textId="77777777">
        <w:tc>
          <w:tcPr>
            <w:tcW w:w="2880" w:type="dxa"/>
          </w:tcPr>
          <w:p w14:paraId="4C8E4DB5" w14:textId="77777777" w:rsidR="0064187A" w:rsidRDefault="00000000">
            <w:r>
              <w:t>MAPE</w:t>
            </w:r>
          </w:p>
        </w:tc>
        <w:tc>
          <w:tcPr>
            <w:tcW w:w="2880" w:type="dxa"/>
          </w:tcPr>
          <w:p w14:paraId="0A47EC3A" w14:textId="77777777" w:rsidR="0064187A" w:rsidRDefault="00000000">
            <w:r>
              <w:t>169.18%</w:t>
            </w:r>
          </w:p>
        </w:tc>
        <w:tc>
          <w:tcPr>
            <w:tcW w:w="2880" w:type="dxa"/>
          </w:tcPr>
          <w:p w14:paraId="043E2DE3" w14:textId="77777777" w:rsidR="0064187A" w:rsidRDefault="00000000">
            <w:r>
              <w:t>&lt; 20%</w:t>
            </w:r>
          </w:p>
        </w:tc>
      </w:tr>
      <w:tr w:rsidR="0064187A" w14:paraId="6D096BF5" w14:textId="77777777">
        <w:tc>
          <w:tcPr>
            <w:tcW w:w="2880" w:type="dxa"/>
          </w:tcPr>
          <w:p w14:paraId="3A0D1756" w14:textId="77777777" w:rsidR="0064187A" w:rsidRDefault="00000000">
            <w:r>
              <w:t>R-squared</w:t>
            </w:r>
          </w:p>
        </w:tc>
        <w:tc>
          <w:tcPr>
            <w:tcW w:w="2880" w:type="dxa"/>
          </w:tcPr>
          <w:p w14:paraId="2345026E" w14:textId="77777777" w:rsidR="0064187A" w:rsidRDefault="00000000">
            <w:r>
              <w:t>0.2610</w:t>
            </w:r>
          </w:p>
        </w:tc>
        <w:tc>
          <w:tcPr>
            <w:tcW w:w="2880" w:type="dxa"/>
          </w:tcPr>
          <w:p w14:paraId="297AF4AD" w14:textId="77777777" w:rsidR="0064187A" w:rsidRDefault="00000000">
            <w:r>
              <w:t>&gt; 0.5</w:t>
            </w:r>
          </w:p>
        </w:tc>
      </w:tr>
      <w:tr w:rsidR="0064187A" w14:paraId="7BE5EF8C" w14:textId="77777777">
        <w:tc>
          <w:tcPr>
            <w:tcW w:w="2880" w:type="dxa"/>
          </w:tcPr>
          <w:p w14:paraId="1D7F916A" w14:textId="77777777" w:rsidR="0064187A" w:rsidRDefault="00000000">
            <w:r>
              <w:t>Directional Accuracy</w:t>
            </w:r>
          </w:p>
        </w:tc>
        <w:tc>
          <w:tcPr>
            <w:tcW w:w="2880" w:type="dxa"/>
          </w:tcPr>
          <w:p w14:paraId="41FA4947" w14:textId="77777777" w:rsidR="0064187A" w:rsidRDefault="00000000">
            <w:r>
              <w:t>91.38%</w:t>
            </w:r>
          </w:p>
        </w:tc>
        <w:tc>
          <w:tcPr>
            <w:tcW w:w="2880" w:type="dxa"/>
          </w:tcPr>
          <w:p w14:paraId="39DA045B" w14:textId="77777777" w:rsidR="0064187A" w:rsidRDefault="00000000">
            <w:r>
              <w:t>&gt; 60%</w:t>
            </w:r>
          </w:p>
        </w:tc>
      </w:tr>
    </w:tbl>
    <w:p w14:paraId="3F23BB8E" w14:textId="77777777" w:rsidR="0064187A" w:rsidRDefault="0064187A"/>
    <w:p w14:paraId="58DF0D6D" w14:textId="77777777" w:rsidR="0064187A" w:rsidRDefault="00000000">
      <w:pPr>
        <w:pStyle w:val="Heading2"/>
      </w:pPr>
      <w:r>
        <w:t>6.2 Baseline Comparisons</w:t>
      </w:r>
    </w:p>
    <w:p w14:paraId="0012FC72" w14:textId="77777777" w:rsidR="0064187A" w:rsidRDefault="00000000">
      <w:pPr>
        <w:jc w:val="both"/>
      </w:pPr>
      <w:r>
        <w:t xml:space="preserve">To contextualize model performance, we compared the LSTM against a naive mean baseline predictor. The LSTM achieved a 14.04% improvement in RMSE over the mean baseline (9.10 vs 10.58). However, the mean baseline exhibited slightly lower MAE and MAPE, indicating that the LSTM's errors, while less frequent in terms of RMSE, are of </w:t>
      </w:r>
      <w:r>
        <w:lastRenderedPageBreak/>
        <w:t>greater magnitude when they occur. Notably, the LSTM's directional accuracy of 91.38% substantially exceeds the mean baseline's 0% directional accuracy, demonstrating the model's primary strength in trend prediction.</w:t>
      </w:r>
    </w:p>
    <w:p w14:paraId="736B5FD4" w14:textId="77777777" w:rsidR="0064187A" w:rsidRDefault="00000000">
      <w:pPr>
        <w:pStyle w:val="Heading2"/>
      </w:pPr>
      <w:r>
        <w:t>6.3 Directional Prediction Performance</w:t>
      </w:r>
    </w:p>
    <w:p w14:paraId="79482D9E" w14:textId="77777777" w:rsidR="0064187A" w:rsidRDefault="00000000">
      <w:pPr>
        <w:jc w:val="both"/>
      </w:pPr>
      <w:r>
        <w:t>The 91.38% directional accuracy represents the model's ability to correctly predict whether employment will increase or decrease relative to the previous quarter. This metric holds particular practical significance for policy applications where understanding trend direction often matters more than precise magnitude estimation. The strong directional performance suggests the LSTM successfully captures the temporal dynamics governing employment transitions.</w:t>
      </w:r>
    </w:p>
    <w:p w14:paraId="610AF9B6" w14:textId="77777777" w:rsidR="0064187A" w:rsidRDefault="00000000">
      <w:pPr>
        <w:pStyle w:val="Heading1"/>
      </w:pPr>
      <w:r>
        <w:t>7. Discussion</w:t>
      </w:r>
    </w:p>
    <w:p w14:paraId="7D1AA9EF" w14:textId="77777777" w:rsidR="0064187A" w:rsidRDefault="00000000">
      <w:pPr>
        <w:pStyle w:val="Heading2"/>
      </w:pPr>
      <w:r>
        <w:t>7.1 Interpretation of Results</w:t>
      </w:r>
    </w:p>
    <w:p w14:paraId="02F62878" w14:textId="77777777" w:rsidR="0064187A" w:rsidRDefault="00000000">
      <w:pPr>
        <w:jc w:val="both"/>
      </w:pPr>
      <w:r>
        <w:t>The experimental results reveal a dichotomy in the LSTM model's predictive capabilities. The high directional accuracy (91.38%) indicates robust learning of temporal patterns governing employment trend directions. Policymakers and workforce planners can leverage such predictions to anticipate whether employment in specific industries or regions will expand or contract, informing resource allocation decisions.</w:t>
      </w:r>
    </w:p>
    <w:p w14:paraId="387B33C6" w14:textId="77777777" w:rsidR="0064187A" w:rsidRDefault="00000000">
      <w:pPr>
        <w:jc w:val="both"/>
      </w:pPr>
      <w:r>
        <w:t>However, the elevated MAPE of 169.18% signals substantial challenges in magnitude prediction. This discrepancy warrants careful analysis. The QCEW dataset encompasses employment values ranging from zero (for suppressed or non-existent industry-county combinations) to over 156 million (for aggregate totals). This extreme range, combined with the presence of many near-zero values, inflates percentage-based error metrics. Small absolute errors on small employment values translate to large percentage errors, distorting the MAPE metric.</w:t>
      </w:r>
    </w:p>
    <w:p w14:paraId="697E04E7" w14:textId="77777777" w:rsidR="0064187A" w:rsidRDefault="00000000">
      <w:pPr>
        <w:pStyle w:val="Heading2"/>
      </w:pPr>
      <w:r>
        <w:t>7.2 Impact of COVID-19 Pandemic</w:t>
      </w:r>
    </w:p>
    <w:p w14:paraId="228EF7D3" w14:textId="77777777" w:rsidR="0064187A" w:rsidRDefault="00000000">
      <w:pPr>
        <w:jc w:val="both"/>
      </w:pPr>
      <w:r>
        <w:t>The COVID-19 pandemic, which precipitated unprecedented employment disruptions beginning in Q2 2020, introduced substantial volatility into the employment series. The abrupt decline and subsequent recovery patterns deviate markedly from historical dynamics, presenting challenges for models trained on pre-pandemic relationships. The pandemic's inclusion in both training and test periods introduces structural breaks that traditional time series models and neural networks alike struggle to accommodate.</w:t>
      </w:r>
    </w:p>
    <w:p w14:paraId="61C60E53" w14:textId="77777777" w:rsidR="0064187A" w:rsidRDefault="00000000">
      <w:pPr>
        <w:pStyle w:val="Heading2"/>
      </w:pPr>
      <w:r>
        <w:t>7.3 Limitations</w:t>
      </w:r>
    </w:p>
    <w:p w14:paraId="06207A98" w14:textId="77777777" w:rsidR="0064187A" w:rsidRDefault="00000000">
      <w:pPr>
        <w:pStyle w:val="ListBullet"/>
        <w:jc w:val="both"/>
      </w:pPr>
      <w:r>
        <w:t>Data Quality Constraints: The QCEW data contains disclosure suppressions to protect employer confidentiality, introducing missing values in certain industry-county combinations.</w:t>
      </w:r>
    </w:p>
    <w:p w14:paraId="270BD709" w14:textId="77777777" w:rsidR="0064187A" w:rsidRDefault="00000000">
      <w:pPr>
        <w:pStyle w:val="ListBullet"/>
        <w:jc w:val="both"/>
      </w:pPr>
      <w:r>
        <w:lastRenderedPageBreak/>
        <w:t>External Factors: The model does not incorporate exogenous economic indicators such as GDP growth, interest rates, or policy interventions that influence employment dynamics.</w:t>
      </w:r>
    </w:p>
    <w:p w14:paraId="0C45487E" w14:textId="77777777" w:rsidR="0064187A" w:rsidRDefault="00000000">
      <w:pPr>
        <w:pStyle w:val="ListBullet"/>
        <w:jc w:val="both"/>
      </w:pPr>
      <w:r>
        <w:t>Temporal Scope: While covering 20 years, the post-pandemic period represents a small fraction of observations, limiting the model's ability to learn from recovery dynamics.</w:t>
      </w:r>
    </w:p>
    <w:p w14:paraId="58FAC38B" w14:textId="77777777" w:rsidR="0064187A" w:rsidRDefault="00000000">
      <w:pPr>
        <w:pStyle w:val="ListBullet"/>
        <w:jc w:val="both"/>
      </w:pPr>
      <w:r>
        <w:t>Geographic Aggregation: County-level analysis may obscure sub-county variations relevant for localized workforce planning.</w:t>
      </w:r>
    </w:p>
    <w:p w14:paraId="272C870F" w14:textId="77777777" w:rsidR="0064187A" w:rsidRDefault="00000000">
      <w:pPr>
        <w:pStyle w:val="Heading1"/>
      </w:pPr>
      <w:r>
        <w:t>8. Conclusions</w:t>
      </w:r>
    </w:p>
    <w:p w14:paraId="724622F0" w14:textId="77777777" w:rsidR="0064187A" w:rsidRDefault="00000000">
      <w:pPr>
        <w:jc w:val="both"/>
      </w:pPr>
      <w:r>
        <w:t>This study has presented a comprehensive LSTM-based framework for forecasting California employment using the QCEW dataset. The developed eight-stage pipeline successfully processed over 5.4 million records, implementing systematic data consolidation, validation, feature engineering, and preprocessing to generate 599,582 training sequences for the neural network.</w:t>
      </w:r>
    </w:p>
    <w:p w14:paraId="07B73EE3" w14:textId="77777777" w:rsidR="0064187A" w:rsidRDefault="00000000">
      <w:pPr>
        <w:jc w:val="both"/>
      </w:pPr>
      <w:r>
        <w:t>The LSTM model achieved a directional accuracy of 91.38%, demonstrating strong capability in predicting employment trend directions. This finding holds practical significance for stakeholders requiring early signals of labor market transitions. The 14.04% RMSE improvement over naive baselines confirms that the LSTM architecture extracts meaningful temporal patterns from the employment sequences.</w:t>
      </w:r>
    </w:p>
    <w:p w14:paraId="1BF43AF2" w14:textId="77777777" w:rsidR="0064187A" w:rsidRDefault="00000000">
      <w:pPr>
        <w:jc w:val="both"/>
      </w:pPr>
      <w:r>
        <w:t>The challenges observed in magnitude prediction (MAPE of 169.18%) highlight areas for methodological refinement. Future work should explore hybrid architectures combining neural networks with traditional econometric components, incorporation of external economic indicators, and specialized treatment of pandemic-affected observations. The modular pipeline architecture developed in this study provides a foundation for such extensions.</w:t>
      </w:r>
    </w:p>
    <w:p w14:paraId="03861D66" w14:textId="77777777" w:rsidR="0064187A" w:rsidRDefault="00000000">
      <w:pPr>
        <w:pStyle w:val="Heading1"/>
      </w:pPr>
      <w:r>
        <w:t>9. Future Work</w:t>
      </w:r>
    </w:p>
    <w:p w14:paraId="4B229078" w14:textId="77777777" w:rsidR="0064187A" w:rsidRDefault="00000000">
      <w:pPr>
        <w:pStyle w:val="ListBullet"/>
        <w:jc w:val="both"/>
      </w:pPr>
      <w:r>
        <w:t>Integration of External Economic Indicators: Incorporating GDP, unemployment insurance claims, and leading economic indices as additional input features.</w:t>
      </w:r>
    </w:p>
    <w:p w14:paraId="080D3133" w14:textId="77777777" w:rsidR="0064187A" w:rsidRDefault="00000000">
      <w:pPr>
        <w:pStyle w:val="ListBullet"/>
        <w:jc w:val="both"/>
      </w:pPr>
      <w:r>
        <w:t>Hybrid Model Development: Combining LSTM networks with traditional ARIMA components to leverage complementary modeling strengths.</w:t>
      </w:r>
    </w:p>
    <w:p w14:paraId="7D2530B0" w14:textId="77777777" w:rsidR="0064187A" w:rsidRDefault="00000000">
      <w:pPr>
        <w:pStyle w:val="ListBullet"/>
        <w:jc w:val="both"/>
      </w:pPr>
      <w:r>
        <w:t>Attention Mechanisms: Implementing transformer-based attention to improve interpretability and capture variable-length dependencies.</w:t>
      </w:r>
    </w:p>
    <w:p w14:paraId="16C9D4DD" w14:textId="77777777" w:rsidR="0064187A" w:rsidRDefault="00000000">
      <w:pPr>
        <w:pStyle w:val="ListBullet"/>
        <w:jc w:val="both"/>
      </w:pPr>
      <w:r>
        <w:t>Real-Time Prediction Interface: Deploying a web-based dashboard for interactive forecasting accessible to policymakers.</w:t>
      </w:r>
    </w:p>
    <w:p w14:paraId="57F7DEC0" w14:textId="77777777" w:rsidR="0064187A" w:rsidRDefault="00000000">
      <w:pPr>
        <w:pStyle w:val="ListBullet"/>
        <w:jc w:val="both"/>
      </w:pPr>
      <w:r>
        <w:lastRenderedPageBreak/>
        <w:t>Industry-Specific Models: Training specialized models for high-employment industries to improve sector-specific accuracy.</w:t>
      </w:r>
    </w:p>
    <w:p w14:paraId="5B295BFE" w14:textId="77777777" w:rsidR="0064187A" w:rsidRDefault="00000000">
      <w:pPr>
        <w:pStyle w:val="ListBullet"/>
        <w:jc w:val="both"/>
      </w:pPr>
      <w:r>
        <w:t>Uncertainty Quantification: Implementing probabilistic prediction intervals using Monte Carlo dropout or Bayesian neural networks.</w:t>
      </w:r>
    </w:p>
    <w:p w14:paraId="7E77CC65" w14:textId="77777777" w:rsidR="001E3F47" w:rsidRDefault="001E3F47" w:rsidP="001E3F47">
      <w:pPr>
        <w:pStyle w:val="Heading3"/>
        <w:rPr>
          <w:sz w:val="27"/>
        </w:rPr>
      </w:pPr>
      <w:r>
        <w:t>References</w:t>
      </w:r>
    </w:p>
    <w:p w14:paraId="54E93C58" w14:textId="77777777" w:rsidR="001E3F47" w:rsidRDefault="001E3F47" w:rsidP="001E3F47">
      <w:pPr>
        <w:pStyle w:val="NormalWeb"/>
      </w:pPr>
      <w:r>
        <w:t xml:space="preserve">Box, George E. P., et al. </w:t>
      </w:r>
      <w:r>
        <w:rPr>
          <w:i/>
          <w:iCs/>
        </w:rPr>
        <w:t>Time Series Analysis: Forecasting and Control</w:t>
      </w:r>
      <w:r>
        <w:t xml:space="preserve">. 5th ed., John Wiley &amp; Sons, 2015. </w:t>
      </w:r>
      <w:hyperlink r:id="rId8" w:tgtFrame="_blank" w:history="1">
        <w:r>
          <w:rPr>
            <w:rStyle w:val="Hyperlink"/>
          </w:rPr>
          <w:t>https://www.wiley.com/en-us/Time+Series+Analysis%3A+Forecasting+and+Control%2C+5th+Edition-p-9781118675021</w:t>
        </w:r>
      </w:hyperlink>
    </w:p>
    <w:p w14:paraId="74E9CF43" w14:textId="626E9010" w:rsidR="001E3F47" w:rsidRDefault="001E3F47" w:rsidP="001E3F47">
      <w:pPr>
        <w:pStyle w:val="NormalWeb"/>
      </w:pPr>
      <w:r w:rsidRPr="001E3F47">
        <w:t xml:space="preserve">Patuelli, Roberto and Reggiani, Aura and Nijkamp, Peter and Blien, Uwe, New Neural Network Methods for Forecasting Regional Employment: An Analysis of German </w:t>
      </w:r>
      <w:proofErr w:type="spellStart"/>
      <w:r w:rsidRPr="001E3F47">
        <w:t>Labour</w:t>
      </w:r>
      <w:proofErr w:type="spellEnd"/>
      <w:r w:rsidRPr="001E3F47">
        <w:t xml:space="preserve"> Markets (January 1, 2006). Spatial Economic Analysis, Vol. 1, No. 1, 2006, Available at SSRN: </w:t>
      </w:r>
      <w:hyperlink r:id="rId9" w:tgtFrame="_blank" w:history="1">
        <w:r w:rsidRPr="001E3F47">
          <w:rPr>
            <w:rStyle w:val="Hyperlink"/>
          </w:rPr>
          <w:t>https://ssrn.com/abstract=886062</w:t>
        </w:r>
      </w:hyperlink>
      <w:r w:rsidRPr="001E3F47">
        <w:t> or </w:t>
      </w:r>
      <w:hyperlink r:id="rId10" w:tgtFrame="_blank" w:history="1">
        <w:r w:rsidRPr="001E3F47">
          <w:rPr>
            <w:rStyle w:val="Hyperlink"/>
          </w:rPr>
          <w:t>http://dx.doi.org/10.2139/ssrn.886062</w:t>
        </w:r>
      </w:hyperlink>
      <w:r>
        <w:t xml:space="preserve">Chakraborty, Chiranjit, and Andreas Joseph. "Machine Learning at Central Banks." </w:t>
      </w:r>
      <w:r>
        <w:rPr>
          <w:i/>
          <w:iCs/>
        </w:rPr>
        <w:t>Bank of England Staff Working Paper</w:t>
      </w:r>
      <w:r>
        <w:t xml:space="preserve">, no. 674, 2017. </w:t>
      </w:r>
      <w:hyperlink r:id="rId11" w:tgtFrame="_blank" w:history="1">
        <w:r>
          <w:rPr>
            <w:rStyle w:val="Hyperlink"/>
          </w:rPr>
          <w:t>https://www.bankofengland.co.uk/working-paper/2017/machine-learning-at-central-banks</w:t>
        </w:r>
      </w:hyperlink>
    </w:p>
    <w:p w14:paraId="48C12112" w14:textId="77777777" w:rsidR="001E3F47" w:rsidRDefault="001E3F47" w:rsidP="001E3F47">
      <w:pPr>
        <w:pStyle w:val="NormalWeb"/>
      </w:pPr>
      <w:r>
        <w:t xml:space="preserve">Fischer, Thomas, and Christopher Krauss. "Deep Learning with Long Short-Term Memory Networks for Financial Market Predictions." </w:t>
      </w:r>
      <w:r>
        <w:rPr>
          <w:i/>
          <w:iCs/>
        </w:rPr>
        <w:t>European Journal of Operational Research</w:t>
      </w:r>
      <w:r>
        <w:t xml:space="preserve">, vol. 270, no. 2, 2018, pp. 654-669. </w:t>
      </w:r>
      <w:hyperlink r:id="rId12" w:tgtFrame="_blank" w:history="1">
        <w:r>
          <w:rPr>
            <w:rStyle w:val="Hyperlink"/>
          </w:rPr>
          <w:t>https://doi.org/10.1016/j.ejor.2017.11.054</w:t>
        </w:r>
      </w:hyperlink>
    </w:p>
    <w:p w14:paraId="341E8063" w14:textId="77777777" w:rsidR="001E3F47" w:rsidRDefault="001E3F47" w:rsidP="001E3F47">
      <w:pPr>
        <w:pStyle w:val="NormalWeb"/>
      </w:pPr>
      <w:r>
        <w:t xml:space="preserve">Graves, Alex. "Generating Sequences with Recurrent Neural Networks." </w:t>
      </w:r>
      <w:proofErr w:type="spellStart"/>
      <w:r>
        <w:rPr>
          <w:i/>
          <w:iCs/>
        </w:rPr>
        <w:t>arXiv</w:t>
      </w:r>
      <w:proofErr w:type="spellEnd"/>
      <w:r>
        <w:t xml:space="preserve">, 2013, arXiv:1308.0850. </w:t>
      </w:r>
      <w:hyperlink r:id="rId13" w:tgtFrame="_blank" w:history="1">
        <w:r>
          <w:rPr>
            <w:rStyle w:val="Hyperlink"/>
          </w:rPr>
          <w:t>https://arxiv.org/abs/1308.0850</w:t>
        </w:r>
      </w:hyperlink>
    </w:p>
    <w:p w14:paraId="11302F6F" w14:textId="77777777" w:rsidR="001E3F47" w:rsidRDefault="001E3F47" w:rsidP="001E3F47">
      <w:pPr>
        <w:pStyle w:val="NormalWeb"/>
      </w:pPr>
      <w:r>
        <w:t xml:space="preserve">Hochreiter, Sepp, and Jürgen </w:t>
      </w:r>
      <w:proofErr w:type="spellStart"/>
      <w:r>
        <w:t>Schmidhuber</w:t>
      </w:r>
      <w:proofErr w:type="spellEnd"/>
      <w:r>
        <w:t xml:space="preserve">. "Long Short-Term Memory." </w:t>
      </w:r>
      <w:r>
        <w:rPr>
          <w:i/>
          <w:iCs/>
        </w:rPr>
        <w:t>Neural Computation</w:t>
      </w:r>
      <w:r>
        <w:t xml:space="preserve">, vol. 9, no. 8, 1997, pp. 1735-1780. </w:t>
      </w:r>
      <w:hyperlink r:id="rId14" w:tgtFrame="_blank" w:history="1">
        <w:r>
          <w:rPr>
            <w:rStyle w:val="Hyperlink"/>
          </w:rPr>
          <w:t>https://doi.org/10.1162/neco.1997.9.8.1735</w:t>
        </w:r>
      </w:hyperlink>
    </w:p>
    <w:p w14:paraId="00986429" w14:textId="77777777" w:rsidR="001E3F47" w:rsidRDefault="001E3F47" w:rsidP="001E3F47">
      <w:pPr>
        <w:pStyle w:val="NormalWeb"/>
      </w:pPr>
      <w:r>
        <w:t xml:space="preserve">Mullainathan, Sendhil, and Jann Spiess. "Machine Learning: An Applied Econometric Approach." </w:t>
      </w:r>
      <w:r>
        <w:rPr>
          <w:i/>
          <w:iCs/>
        </w:rPr>
        <w:t>Journal of Economic Perspectives</w:t>
      </w:r>
      <w:r>
        <w:t xml:space="preserve">, vol. 31, no. 2, 2017, pp. 87-106. </w:t>
      </w:r>
      <w:hyperlink r:id="rId15" w:tgtFrame="_blank" w:history="1">
        <w:r>
          <w:rPr>
            <w:rStyle w:val="Hyperlink"/>
          </w:rPr>
          <w:t>https://www.aeaweb.org/articles?id=10.1257/jep.31.2.87</w:t>
        </w:r>
      </w:hyperlink>
    </w:p>
    <w:p w14:paraId="71471A29" w14:textId="01FB39C1" w:rsidR="001E3F47" w:rsidRDefault="001E3F47" w:rsidP="001E3F47">
      <w:pPr>
        <w:pStyle w:val="NormalWeb"/>
      </w:pPr>
      <w:proofErr w:type="spellStart"/>
      <w:r>
        <w:t>Neftçi</w:t>
      </w:r>
      <w:proofErr w:type="spellEnd"/>
      <w:r>
        <w:t xml:space="preserve">, Salih N. "Optimal Prediction of Cyclical Downturns." </w:t>
      </w:r>
      <w:r>
        <w:rPr>
          <w:i/>
          <w:iCs/>
        </w:rPr>
        <w:t>Journal of Economic Dynamics and Control</w:t>
      </w:r>
      <w:r>
        <w:t xml:space="preserve">, vol. 4, 1982, pp. 225-241. </w:t>
      </w:r>
      <w:hyperlink r:id="rId16" w:history="1">
        <w:r w:rsidRPr="001E3F47">
          <w:rPr>
            <w:rStyle w:val="Hyperlink"/>
          </w:rPr>
          <w:t>https://www.sciencedirect.com/science/article/abs/pii/0165188982900148?via%3Dihub</w:t>
        </w:r>
      </w:hyperlink>
    </w:p>
    <w:p w14:paraId="4FC3899C" w14:textId="77777777" w:rsidR="001E3F47" w:rsidRDefault="001E3F47" w:rsidP="001E3F47">
      <w:pPr>
        <w:pStyle w:val="NormalWeb"/>
      </w:pPr>
      <w:r>
        <w:t xml:space="preserve">Stock, James H., and Mark W. Watson. "Vector Autoregressions." </w:t>
      </w:r>
      <w:r>
        <w:rPr>
          <w:i/>
          <w:iCs/>
        </w:rPr>
        <w:t>Journal of Economic Perspectives</w:t>
      </w:r>
      <w:r>
        <w:t xml:space="preserve">, vol. 15, no. 4, 2001, pp. 101-115. </w:t>
      </w:r>
      <w:hyperlink r:id="rId17" w:tgtFrame="_blank" w:history="1">
        <w:r>
          <w:rPr>
            <w:rStyle w:val="Hyperlink"/>
          </w:rPr>
          <w:t>https://www.aeaweb.org/articles?id=10.1257/jep.15.4.101</w:t>
        </w:r>
      </w:hyperlink>
    </w:p>
    <w:p w14:paraId="2C09610A" w14:textId="284B141E" w:rsidR="0064187A" w:rsidRDefault="001E3F47" w:rsidP="001E3F47">
      <w:pPr>
        <w:pStyle w:val="NormalWeb"/>
      </w:pPr>
      <w:r>
        <w:t xml:space="preserve">U.S. Bureau of Labor Statistics. "Quarterly Census of Employment and Wages." </w:t>
      </w:r>
      <w:r>
        <w:rPr>
          <w:i/>
          <w:iCs/>
        </w:rPr>
        <w:t>U.S. Bureau of Labor Statistics</w:t>
      </w:r>
      <w:r>
        <w:t xml:space="preserve">, 2024. </w:t>
      </w:r>
      <w:hyperlink r:id="rId18" w:tgtFrame="_blank" w:history="1">
        <w:r>
          <w:rPr>
            <w:rStyle w:val="Hyperlink"/>
          </w:rPr>
          <w:t>https://www.bls.gov/cew/</w:t>
        </w:r>
      </w:hyperlink>
    </w:p>
    <w:sectPr w:rsidR="0064187A" w:rsidSect="00034616">
      <w:headerReference w:type="even" r:id="rId19"/>
      <w:headerReference w:type="default" r:id="rId20"/>
      <w:footerReference w:type="even" r:id="rId21"/>
      <w:footerReference w:type="default" r:id="rId22"/>
      <w:headerReference w:type="first" r:id="rId23"/>
      <w:footerReference w:type="firs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C8517" w14:textId="77777777" w:rsidR="004A1303" w:rsidRDefault="004A1303" w:rsidP="00CB392A">
      <w:pPr>
        <w:spacing w:after="0" w:line="240" w:lineRule="auto"/>
      </w:pPr>
      <w:r>
        <w:separator/>
      </w:r>
    </w:p>
  </w:endnote>
  <w:endnote w:type="continuationSeparator" w:id="0">
    <w:p w14:paraId="0CC3F662" w14:textId="77777777" w:rsidR="004A1303" w:rsidRDefault="004A1303" w:rsidP="00CB3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1EFF" w14:textId="77777777" w:rsidR="00CB392A" w:rsidRDefault="00CB39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7E3A" w14:textId="77777777" w:rsidR="00CB392A" w:rsidRDefault="00CB39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AC54" w14:textId="77777777" w:rsidR="00CB392A" w:rsidRDefault="00CB3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1DBA" w14:textId="77777777" w:rsidR="004A1303" w:rsidRDefault="004A1303" w:rsidP="00CB392A">
      <w:pPr>
        <w:spacing w:after="0" w:line="240" w:lineRule="auto"/>
      </w:pPr>
      <w:r>
        <w:separator/>
      </w:r>
    </w:p>
  </w:footnote>
  <w:footnote w:type="continuationSeparator" w:id="0">
    <w:p w14:paraId="6B734A7D" w14:textId="77777777" w:rsidR="004A1303" w:rsidRDefault="004A1303" w:rsidP="00CB3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1C03" w14:textId="77777777" w:rsidR="00CB392A" w:rsidRDefault="00CB39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01822"/>
      <w:docPartObj>
        <w:docPartGallery w:val="Watermarks"/>
        <w:docPartUnique/>
      </w:docPartObj>
    </w:sdtPr>
    <w:sdtContent>
      <w:p w14:paraId="019E3138" w14:textId="3DD7B61C" w:rsidR="00CB392A" w:rsidRDefault="00CB392A">
        <w:pPr>
          <w:pStyle w:val="Header"/>
        </w:pPr>
        <w:r>
          <w:rPr>
            <w:noProof/>
          </w:rPr>
          <w:pict w14:anchorId="56700D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0355" w14:textId="77777777" w:rsidR="00CB392A" w:rsidRDefault="00CB39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E482A8E"/>
    <w:lvl w:ilvl="0">
      <w:start w:val="1"/>
      <w:numFmt w:val="bullet"/>
      <w:pStyle w:val="ListBullet"/>
      <w:lvlText w:val=""/>
      <w:lvlJc w:val="left"/>
      <w:pPr>
        <w:tabs>
          <w:tab w:val="num" w:pos="360"/>
        </w:tabs>
        <w:ind w:left="360" w:hanging="360"/>
      </w:pPr>
      <w:rPr>
        <w:rFonts w:ascii="Symbol" w:hAnsi="Symbol" w:hint="default"/>
      </w:rPr>
    </w:lvl>
  </w:abstractNum>
  <w:num w:numId="1" w16cid:durableId="1324814229">
    <w:abstractNumId w:val="8"/>
  </w:num>
  <w:num w:numId="2" w16cid:durableId="1597596498">
    <w:abstractNumId w:val="6"/>
  </w:num>
  <w:num w:numId="3" w16cid:durableId="918296698">
    <w:abstractNumId w:val="5"/>
  </w:num>
  <w:num w:numId="4" w16cid:durableId="1331370332">
    <w:abstractNumId w:val="4"/>
  </w:num>
  <w:num w:numId="5" w16cid:durableId="1585259796">
    <w:abstractNumId w:val="7"/>
  </w:num>
  <w:num w:numId="6" w16cid:durableId="450822909">
    <w:abstractNumId w:val="3"/>
  </w:num>
  <w:num w:numId="7" w16cid:durableId="1071855999">
    <w:abstractNumId w:val="2"/>
  </w:num>
  <w:num w:numId="8" w16cid:durableId="612053154">
    <w:abstractNumId w:val="1"/>
  </w:num>
  <w:num w:numId="9" w16cid:durableId="201904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47"/>
    <w:rsid w:val="0029639D"/>
    <w:rsid w:val="00326F90"/>
    <w:rsid w:val="004A1303"/>
    <w:rsid w:val="0064187A"/>
    <w:rsid w:val="006758E5"/>
    <w:rsid w:val="00AA1D8D"/>
    <w:rsid w:val="00B47730"/>
    <w:rsid w:val="00CB0664"/>
    <w:rsid w:val="00CB392A"/>
    <w:rsid w:val="00F16D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05DB73"/>
  <w14:defaultImageDpi w14:val="300"/>
  <w15:docId w15:val="{7FA216B4-9F89-4D82-8944-22DBC53B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E3F4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1E3F47"/>
    <w:rPr>
      <w:color w:val="0000FF"/>
      <w:u w:val="single"/>
    </w:rPr>
  </w:style>
  <w:style w:type="character" w:styleId="UnresolvedMention">
    <w:name w:val="Unresolved Mention"/>
    <w:basedOn w:val="DefaultParagraphFont"/>
    <w:uiPriority w:val="99"/>
    <w:semiHidden/>
    <w:unhideWhenUsed/>
    <w:rsid w:val="001E3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ey.com/en-us/Time+Series+Analysis%3A+Forecasting+and+Control%2C+5th+Edition-p-9781118675021" TargetMode="External"/><Relationship Id="rId13" Type="http://schemas.openxmlformats.org/officeDocument/2006/relationships/hyperlink" Target="https://arxiv.org/abs/1308.0850" TargetMode="External"/><Relationship Id="rId18" Type="http://schemas.openxmlformats.org/officeDocument/2006/relationships/hyperlink" Target="https://www.bls.gov/ce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16/j.ejor.2017.11.054" TargetMode="External"/><Relationship Id="rId17" Type="http://schemas.openxmlformats.org/officeDocument/2006/relationships/hyperlink" Target="https://www.aeaweb.org/articles?id=10.1257/jep.15.4.10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abs/pii/0165188982900148?via%3Dihub"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nkofengland.co.uk/working-paper/2017/machine-learning-at-central-banks"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aeaweb.org/articles?id=10.1257/jep.31.2.87" TargetMode="External"/><Relationship Id="rId23" Type="http://schemas.openxmlformats.org/officeDocument/2006/relationships/header" Target="header3.xml"/><Relationship Id="rId10" Type="http://schemas.openxmlformats.org/officeDocument/2006/relationships/hyperlink" Target="https://dx.doi.org/10.2139/ssrn.886062"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srn.com/abstract=886062" TargetMode="External"/><Relationship Id="rId14" Type="http://schemas.openxmlformats.org/officeDocument/2006/relationships/hyperlink" Target="https://doi.org/10.1162/neco.1997.9.8.1735"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10</Pages>
  <Words>3122</Words>
  <Characters>17796</Characters>
  <Application>Microsoft Office Word</Application>
  <DocSecurity>0</DocSecurity>
  <Lines>306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McGauley Brian</cp:lastModifiedBy>
  <cp:revision>2</cp:revision>
  <dcterms:created xsi:type="dcterms:W3CDTF">2013-12-23T23:15:00Z</dcterms:created>
  <dcterms:modified xsi:type="dcterms:W3CDTF">2025-12-01T05:12:00Z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616da39f-7707-4ee3-b0e3-8b473333b745</vt:lpwstr>
  </property>
</Properties>
</file>